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June 2026</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001-38350</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Lithium Argentina AG</w:t>
      </w:r>
    </w:p>
    <w:p>
      <w:pPr>
        <w:spacing w:after="0" w:line="4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3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Dammstrasse 19, 6300 Zug,</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900 West Hastings Street, Suite 310,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Vancouver, British Columbia,</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Canada V6C 1E5</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(North American Mailing Address)</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w:t>
      </w:r>
    </w:p>
    <w:p>
      <w:pPr>
        <w:spacing w:after="0" w:line="166" w:lineRule="exact"/>
        <w:rPr>
          <w:sz w:val="24"/>
          <w:szCs w:val="24"/>
          <w:color w:val="auto"/>
        </w:rPr>
      </w:pPr>
    </w:p>
    <w:p>
      <w:pPr>
        <w:ind w:left="4120"/>
        <w:spacing w:after="0"/>
        <w:tabs>
          <w:tab w:leader="none" w:pos="5920" w:val="left"/>
        </w:tabs>
        <w:rPr>
          <w:sz w:val="20"/>
          <w:szCs w:val="20"/>
          <w:color w:val="auto"/>
        </w:rPr>
      </w:pPr>
      <w:r>
        <w:rPr>
          <w:rFonts w:ascii="Times New Roman" w:cs="Times New Roman" w:eastAsia="Times New Roman" w:hAnsi="Times New Roman"/>
          <w:sz w:val="22"/>
          <w:szCs w:val="22"/>
          <w:color w:val="auto"/>
        </w:rPr>
        <w:t>Form 20-F [X]</w:t>
      </w:r>
      <w:r>
        <w:rPr>
          <w:sz w:val="20"/>
          <w:szCs w:val="20"/>
          <w:color w:val="auto"/>
        </w:rPr>
        <w:tab/>
      </w:r>
      <w:r>
        <w:rPr>
          <w:rFonts w:ascii="Times New Roman" w:cs="Times New Roman" w:eastAsia="Times New Roman" w:hAnsi="Times New Roman"/>
          <w:sz w:val="21"/>
          <w:szCs w:val="21"/>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"Samuel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Samuel Pigott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17"/>
                <w:szCs w:val="17"/>
                <w:color w:val="auto"/>
              </w:rPr>
            </w:pPr>
          </w:p>
        </w:tc>
      </w:tr>
      <w:tr>
        <w:trPr>
          <w:trHeight w:val="237"/>
        </w:trPr>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76"/>
        </w:trPr>
        <w:tc>
          <w:tcPr>
            <w:tcW w:w="58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60" w:type="dxa"/>
            <w:vAlign w:val="bottom"/>
            <w:shd w:val="clear" w:color="auto" w:fill="EEEEEE"/>
          </w:tcPr>
          <w:p>
            <w:pPr>
              <w:spacing w:after="0"/>
              <w:rPr>
                <w:sz w:val="15"/>
                <w:szCs w:val="15"/>
                <w:color w:val="auto"/>
              </w:rPr>
            </w:pPr>
          </w:p>
        </w:tc>
        <w:tc>
          <w:tcPr>
            <w:tcW w:w="10100" w:type="dxa"/>
            <w:vAlign w:val="bottom"/>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News Release dated June 22, 2026</w:t>
            </w:r>
          </w:p>
        </w:tc>
        <w:tc>
          <w:tcPr>
            <w:tcW w:w="40" w:type="dxa"/>
            <w:vAlign w:val="bottom"/>
          </w:tcPr>
          <w:p>
            <w:pPr>
              <w:spacing w:after="0"/>
              <w:rPr>
                <w:sz w:val="15"/>
                <w:szCs w:val="15"/>
                <w:color w:val="auto"/>
              </w:rPr>
            </w:pPr>
          </w:p>
        </w:tc>
      </w:tr>
      <w:tr>
        <w:trPr>
          <w:trHeight w:val="20"/>
        </w:trPr>
        <w:tc>
          <w:tcPr>
            <w:tcW w:w="3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0000EE"/>
            </w:tcBorders>
            <w:shd w:val="clear" w:color="auto" w:fill="EEEEEE"/>
          </w:tcPr>
          <w:p>
            <w:pPr>
              <w:spacing w:after="0" w:line="20" w:lineRule="exact"/>
              <w:rPr>
                <w:sz w:val="1"/>
                <w:szCs w:val="1"/>
                <w:color w:val="auto"/>
              </w:rPr>
            </w:pPr>
          </w:p>
        </w:tc>
        <w:tc>
          <w:tcPr>
            <w:tcW w:w="160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68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56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Report of Voting Results dated June 19, 2026</w:t>
            </w:r>
          </w:p>
        </w:tc>
        <w:tc>
          <w:tcPr>
            <w:tcW w:w="40" w:type="dxa"/>
            <w:vAlign w:val="bottom"/>
          </w:tcPr>
          <w:p>
            <w:pPr>
              <w:spacing w:after="0"/>
              <w:rPr>
                <w:sz w:val="15"/>
                <w:szCs w:val="15"/>
                <w:color w:val="auto"/>
              </w:rPr>
            </w:pPr>
          </w:p>
        </w:tc>
      </w:tr>
      <w:tr>
        <w:trPr>
          <w:trHeight w:val="368"/>
        </w:trPr>
        <w:tc>
          <w:tcPr>
            <w:tcW w:w="3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3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60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68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153A57"/>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794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Lithium Argentina Reports 2026 Annual General Meeting Results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June 22, 2026 - Zug, Switzerland: </w:t>
      </w:r>
      <w:r>
        <w:rPr>
          <w:rFonts w:ascii="Times New Roman" w:cs="Times New Roman" w:eastAsia="Times New Roman" w:hAnsi="Times New Roman"/>
          <w:sz w:val="22"/>
          <w:szCs w:val="22"/>
          <w:color w:val="auto"/>
        </w:rPr>
        <w:t>Lithium Argentina AG ("</w:t>
      </w:r>
      <w:r>
        <w:rPr>
          <w:rFonts w:ascii="Times New Roman" w:cs="Times New Roman" w:eastAsia="Times New Roman" w:hAnsi="Times New Roman"/>
          <w:sz w:val="22"/>
          <w:szCs w:val="22"/>
          <w:b w:val="1"/>
          <w:bCs w:val="1"/>
          <w:color w:val="auto"/>
        </w:rPr>
        <w:t>Lithium Argentina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TSX: LAR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NYSE: LAR</w:t>
      </w:r>
      <w:r>
        <w:rPr>
          <w:rFonts w:ascii="Times New Roman" w:cs="Times New Roman" w:eastAsia="Times New Roman" w:hAnsi="Times New Roman"/>
          <w:sz w:val="22"/>
          <w:szCs w:val="22"/>
          <w:color w:val="auto"/>
        </w:rPr>
        <w:t>) is pleased to announce the results from its annual general meeting held on June 19, 2026 (the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The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saw representation of 24.51% of the total shares outstanding being voted.</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At the Meeting, the eight director nominees listed in the Company's management information circular dated May 4, 2026 (the "</w:t>
      </w:r>
      <w:r>
        <w:rPr>
          <w:rFonts w:ascii="Times New Roman" w:cs="Times New Roman" w:eastAsia="Times New Roman" w:hAnsi="Times New Roman"/>
          <w:sz w:val="22"/>
          <w:szCs w:val="22"/>
          <w:b w:val="1"/>
          <w:bCs w:val="1"/>
          <w:color w:val="auto"/>
        </w:rPr>
        <w:t>Circular</w:t>
      </w:r>
      <w:r>
        <w:rPr>
          <w:rFonts w:ascii="Times New Roman" w:cs="Times New Roman" w:eastAsia="Times New Roman" w:hAnsi="Times New Roman"/>
          <w:sz w:val="22"/>
          <w:szCs w:val="22"/>
          <w:color w:val="auto"/>
        </w:rPr>
        <w:t>") were also re-elected as directors to serve until the close of the next annual meeting of shareholders. The detailed results of the vote are set out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40" w:type="dxa"/>
            <w:vAlign w:val="bottom"/>
            <w:tcBorders>
              <w:right w:val="single" w:sz="8" w:color="A6A6A6"/>
            </w:tcBorders>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Director Nominees</w:t>
            </w:r>
          </w:p>
        </w:tc>
        <w:tc>
          <w:tcPr>
            <w:tcW w:w="1460" w:type="dxa"/>
            <w:vAlign w:val="bottom"/>
            <w:shd w:val="clear" w:color="auto" w:fill="153A57"/>
          </w:tcPr>
          <w:p>
            <w:pPr>
              <w:jc w:val="right"/>
              <w:spacing w:after="0"/>
              <w:rPr>
                <w:sz w:val="20"/>
                <w:szCs w:val="20"/>
                <w:color w:val="auto"/>
              </w:rPr>
            </w:pPr>
            <w:r>
              <w:rPr>
                <w:rFonts w:ascii="Times New Roman" w:cs="Times New Roman" w:eastAsia="Times New Roman" w:hAnsi="Times New Roman"/>
                <w:sz w:val="18"/>
                <w:szCs w:val="18"/>
                <w:b w:val="1"/>
                <w:bCs w:val="1"/>
                <w:color w:val="FFFFFF"/>
              </w:rPr>
              <w:t>Votes</w:t>
            </w:r>
          </w:p>
        </w:tc>
        <w:tc>
          <w:tcPr>
            <w:tcW w:w="1340" w:type="dxa"/>
            <w:vAlign w:val="bottom"/>
            <w:tcBorders>
              <w:right w:val="single" w:sz="8" w:color="A6A6A6"/>
            </w:tcBorders>
            <w:shd w:val="clear" w:color="auto" w:fill="153A57"/>
          </w:tcPr>
          <w:p>
            <w:pPr>
              <w:ind w:left="20"/>
              <w:spacing w:after="0"/>
              <w:rPr>
                <w:sz w:val="20"/>
                <w:szCs w:val="20"/>
                <w:color w:val="auto"/>
              </w:rPr>
            </w:pPr>
            <w:r>
              <w:rPr>
                <w:rFonts w:ascii="Times New Roman" w:cs="Times New Roman" w:eastAsia="Times New Roman" w:hAnsi="Times New Roman"/>
                <w:sz w:val="18"/>
                <w:szCs w:val="18"/>
                <w:b w:val="1"/>
                <w:bCs w:val="1"/>
                <w:color w:val="FFFFFF"/>
              </w:rPr>
              <w:t>For</w:t>
            </w:r>
          </w:p>
        </w:tc>
        <w:tc>
          <w:tcPr>
            <w:tcW w:w="2820" w:type="dxa"/>
            <w:vAlign w:val="bottom"/>
            <w:tcBorders>
              <w:right w:val="single" w:sz="8" w:color="A6A6A6"/>
            </w:tcBorders>
            <w:shd w:val="clear" w:color="auto" w:fill="153A57"/>
          </w:tcPr>
          <w:p>
            <w:pPr>
              <w:ind w:left="880"/>
              <w:spacing w:after="0"/>
              <w:rPr>
                <w:sz w:val="20"/>
                <w:szCs w:val="20"/>
                <w:color w:val="auto"/>
              </w:rPr>
            </w:pPr>
            <w:r>
              <w:rPr>
                <w:rFonts w:ascii="Times New Roman" w:cs="Times New Roman" w:eastAsia="Times New Roman" w:hAnsi="Times New Roman"/>
                <w:sz w:val="18"/>
                <w:szCs w:val="18"/>
                <w:b w:val="1"/>
                <w:bCs w:val="1"/>
                <w:color w:val="FFFFFF"/>
              </w:rPr>
              <w:t>Votes Against</w:t>
            </w:r>
          </w:p>
        </w:tc>
        <w:tc>
          <w:tcPr>
            <w:tcW w:w="2780" w:type="dxa"/>
            <w:vAlign w:val="bottom"/>
            <w:shd w:val="clear" w:color="auto" w:fill="153A57"/>
          </w:tcPr>
          <w:p>
            <w:pPr>
              <w:ind w:left="1080"/>
              <w:spacing w:after="0"/>
              <w:rPr>
                <w:sz w:val="20"/>
                <w:szCs w:val="20"/>
                <w:color w:val="auto"/>
              </w:rPr>
            </w:pPr>
            <w:r>
              <w:rPr>
                <w:rFonts w:ascii="Times New Roman" w:cs="Times New Roman" w:eastAsia="Times New Roman" w:hAnsi="Times New Roman"/>
                <w:sz w:val="18"/>
                <w:szCs w:val="18"/>
                <w:b w:val="1"/>
                <w:bCs w:val="1"/>
                <w:color w:val="FFFFFF"/>
              </w:rPr>
              <w:t>Abstain</w:t>
            </w:r>
          </w:p>
        </w:tc>
      </w:tr>
      <w:tr>
        <w:trPr>
          <w:trHeight w:val="270"/>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John Kanellitsas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35,743,528</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(89.01%)</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4,316,352 (10.75%)</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96,235 (0.24%)</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4"/>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Sam Pigott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39,633,596</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(98.70%)</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357,040 (0.89%)</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165,479 (0.41%)</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4"/>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George Ireland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39,124,887</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(97.43%)</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922,361 (2.30%)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108,867 (0.27%)</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4"/>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Diego Lopez Casanello</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39,784,400</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(99.07%)</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194,603 (0.48%)</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177,112 (0.44%)</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4"/>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Robert Doyle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39,214,939</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(97.66%)</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763,097 (1.90%)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178,079 (0.44%)</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4"/>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Franco Mignacco</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35,701,992</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(88.91%)</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4,281,796 (10.66%)</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172,327 (0.43%)</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3"/>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Calum Morrison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37,565,051</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(93.55%)</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w w:val="99"/>
              </w:rPr>
              <w:t>1,518,623 (3.78%)</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1,072,441 (2.67%)</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r>
        <w:trPr>
          <w:trHeight w:val="263"/>
        </w:trPr>
        <w:tc>
          <w:tcPr>
            <w:tcW w:w="284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Monica Moretto</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39,776,372</w:t>
            </w:r>
          </w:p>
        </w:tc>
        <w:tc>
          <w:tcPr>
            <w:tcW w:w="1340" w:type="dxa"/>
            <w:vAlign w:val="bottom"/>
            <w:tcBorders>
              <w:right w:val="single" w:sz="8" w:color="A6A6A6"/>
            </w:tcBorders>
          </w:tcPr>
          <w:p>
            <w:pPr>
              <w:ind w:left="20"/>
              <w:spacing w:after="0"/>
              <w:rPr>
                <w:sz w:val="20"/>
                <w:szCs w:val="20"/>
                <w:color w:val="auto"/>
              </w:rPr>
            </w:pPr>
            <w:r>
              <w:rPr>
                <w:rFonts w:ascii="Times New Roman" w:cs="Times New Roman" w:eastAsia="Times New Roman" w:hAnsi="Times New Roman"/>
                <w:sz w:val="18"/>
                <w:szCs w:val="18"/>
                <w:color w:val="auto"/>
              </w:rPr>
              <w:t>(99.05%)</w:t>
            </w:r>
          </w:p>
        </w:tc>
        <w:tc>
          <w:tcPr>
            <w:tcW w:w="282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18"/>
                <w:szCs w:val="18"/>
                <w:color w:val="auto"/>
              </w:rPr>
              <w:t>206,999 (0.52%)</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172,744 (0.43%)</w:t>
            </w:r>
          </w:p>
        </w:tc>
      </w:tr>
      <w:tr>
        <w:trPr>
          <w:trHeight w:val="54"/>
        </w:trPr>
        <w:tc>
          <w:tcPr>
            <w:tcW w:w="2840" w:type="dxa"/>
            <w:vAlign w:val="bottom"/>
            <w:tcBorders>
              <w:bottom w:val="single" w:sz="8" w:color="A6A6A6"/>
              <w:right w:val="single" w:sz="8" w:color="A6A6A6"/>
            </w:tcBorders>
          </w:tcPr>
          <w:p>
            <w:pPr>
              <w:spacing w:after="0"/>
              <w:rPr>
                <w:sz w:val="4"/>
                <w:szCs w:val="4"/>
                <w:color w:val="auto"/>
              </w:rPr>
            </w:pPr>
          </w:p>
        </w:tc>
        <w:tc>
          <w:tcPr>
            <w:tcW w:w="1460" w:type="dxa"/>
            <w:vAlign w:val="bottom"/>
            <w:tcBorders>
              <w:bottom w:val="single" w:sz="8" w:color="A6A6A6"/>
            </w:tcBorders>
          </w:tcPr>
          <w:p>
            <w:pPr>
              <w:spacing w:after="0"/>
              <w:rPr>
                <w:sz w:val="4"/>
                <w:szCs w:val="4"/>
                <w:color w:val="auto"/>
              </w:rPr>
            </w:pPr>
          </w:p>
        </w:tc>
        <w:tc>
          <w:tcPr>
            <w:tcW w:w="1340" w:type="dxa"/>
            <w:vAlign w:val="bottom"/>
            <w:tcBorders>
              <w:bottom w:val="single" w:sz="8" w:color="A6A6A6"/>
              <w:right w:val="single" w:sz="8" w:color="A6A6A6"/>
            </w:tcBorders>
          </w:tcPr>
          <w:p>
            <w:pPr>
              <w:spacing w:after="0"/>
              <w:rPr>
                <w:sz w:val="4"/>
                <w:szCs w:val="4"/>
                <w:color w:val="auto"/>
              </w:rPr>
            </w:pPr>
          </w:p>
        </w:tc>
        <w:tc>
          <w:tcPr>
            <w:tcW w:w="2820" w:type="dxa"/>
            <w:vAlign w:val="bottom"/>
            <w:tcBorders>
              <w:bottom w:val="single" w:sz="8" w:color="A6A6A6"/>
              <w:right w:val="single" w:sz="8" w:color="A6A6A6"/>
            </w:tcBorders>
          </w:tcPr>
          <w:p>
            <w:pPr>
              <w:spacing w:after="0"/>
              <w:rPr>
                <w:sz w:val="4"/>
                <w:szCs w:val="4"/>
                <w:color w:val="auto"/>
              </w:rPr>
            </w:pPr>
          </w:p>
        </w:tc>
        <w:tc>
          <w:tcPr>
            <w:tcW w:w="2780" w:type="dxa"/>
            <w:vAlign w:val="bottom"/>
            <w:tcBorders>
              <w:bottom w:val="single" w:sz="8" w:color="A6A6A6"/>
            </w:tcBorders>
          </w:tcPr>
          <w:p>
            <w:pPr>
              <w:spacing w:after="0"/>
              <w:rPr>
                <w:sz w:val="4"/>
                <w:szCs w:val="4"/>
                <w:color w:val="auto"/>
              </w:rPr>
            </w:pPr>
          </w:p>
        </w:tc>
      </w:tr>
    </w:tbl>
    <w:p>
      <w:pPr>
        <w:spacing w:after="0" w:line="1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In addition to the election of directors, shareholders also: (1) approved the Swiss consolidated financial statements of the Company for the year ended December 31, 2025 and the Swiss statutory standalone financial statements of the Company for the year ended December 31, 2025, together with the respective reports of the auditor thereon; (2) approved the appropriation of the accumulated loss for the fiscal year 2025; (3) approved the discharge of the members of the Board of Directors of the Company and of the executive management team from liability for the activities during fiscal year 2025; (4) approved a new amended and restated equity incentive plan; (5) re-elected John Kanellitsas as Chair of the Board of Directors of the Company for a term extending until completion of the next annual general meeting; (6) re-elected Calum Morrison, George Ireland and Robert Doyle as the three members of the Governance, Nomination, Compensation and Leadership Committee, each for a term extending until completion of the next annual general meeting; (7) appointed for the financial year 2026, PricewaterhouseCoopers LLP, Chartered Professional Accountants, as auditor of the Company; (8) elected for the financial year 2026, PricewaterhouseCoopers AG, Zug, Switzerland, as Swiss statutory auditor; (9) approved a non-binding advisory resolution on the Company's executive compensation; (10) approved the maximum aggregate compensation of the Board for the period until the next annual general meeting; (11) approved the maximum aggregate compensation of the executive management team for the financial year 2027 under Swiss law; (12) approved a non-binding advisory resolution on the Swiss statutory compensation report; (13) elected Anwaltskanzlei Keller AG as the Swiss statutory independent voting rights representative for a term extending until completion of the next annual general meeting. The details of the proposals are more particularly described in the Circular which available is on SEDAR+ </w:t>
      </w: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00638D"/>
        </w:rPr>
        <w:t>www.sedarplus.ca</w:t>
      </w: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color w:val="auto"/>
        </w:rPr>
        <w:t xml:space="preserve"> and EDGAR </w:t>
      </w: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00638D"/>
        </w:rPr>
        <w:t>www.sec.gov</w:t>
      </w: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color w:val="auto"/>
        </w:rPr>
        <w:t xml:space="preserve"> and posted to the Investors section of the Company's website at </w:t>
      </w:r>
      <w:r>
        <w:rPr>
          <w:rFonts w:ascii="Times New Roman" w:cs="Times New Roman" w:eastAsia="Times New Roman" w:hAnsi="Times New Roman"/>
          <w:sz w:val="22"/>
          <w:szCs w:val="22"/>
          <w:u w:val="single" w:color="auto"/>
          <w:color w:val="0000FF"/>
        </w:rPr>
        <w:t>www.lithium-argentina.com</w:t>
      </w:r>
      <w:r>
        <w:rPr>
          <w:rFonts w:ascii="Times New Roman" w:cs="Times New Roman" w:eastAsia="Times New Roman" w:hAnsi="Times New Roman"/>
          <w:sz w:val="22"/>
          <w:szCs w:val="22"/>
          <w:color w:val="000000"/>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31F20"/>
        </w:rPr>
        <w:t>Final voting results on all matters voted on at the Meeting will be reported in the Company's Report of Voting Results to be filed on SEDAR+ (</w:t>
      </w:r>
      <w:r>
        <w:rPr>
          <w:rFonts w:ascii="Times New Roman" w:cs="Times New Roman" w:eastAsia="Times New Roman" w:hAnsi="Times New Roman"/>
          <w:sz w:val="22"/>
          <w:szCs w:val="22"/>
          <w:u w:val="single" w:color="auto"/>
          <w:color w:val="00638D"/>
        </w:rPr>
        <w:t>www.sedarplus.ca</w:t>
      </w:r>
      <w:r>
        <w:rPr>
          <w:rFonts w:ascii="Times New Roman" w:cs="Times New Roman" w:eastAsia="Times New Roman" w:hAnsi="Times New Roman"/>
          <w:sz w:val="22"/>
          <w:szCs w:val="22"/>
          <w:color w:val="231F20"/>
        </w:rPr>
        <w:t>) and EDGAR (</w:t>
      </w:r>
      <w:r>
        <w:rPr>
          <w:rFonts w:ascii="Times New Roman" w:cs="Times New Roman" w:eastAsia="Times New Roman" w:hAnsi="Times New Roman"/>
          <w:sz w:val="22"/>
          <w:szCs w:val="22"/>
          <w:u w:val="single" w:color="auto"/>
          <w:color w:val="00638D"/>
        </w:rPr>
        <w:t>www.sec.gov</w:t>
      </w:r>
      <w:r>
        <w:rPr>
          <w:rFonts w:ascii="Times New Roman" w:cs="Times New Roman" w:eastAsia="Times New Roman" w:hAnsi="Times New Roman"/>
          <w:sz w:val="22"/>
          <w:szCs w:val="22"/>
          <w:color w:val="231F20"/>
        </w:rPr>
        <w:t xml:space="preserve">) and posted to the Investors section of the Company's website at </w:t>
      </w:r>
      <w:r>
        <w:rPr>
          <w:rFonts w:ascii="Times New Roman" w:cs="Times New Roman" w:eastAsia="Times New Roman" w:hAnsi="Times New Roman"/>
          <w:sz w:val="22"/>
          <w:szCs w:val="22"/>
          <w:u w:val="single" w:color="auto"/>
          <w:color w:val="0000FF"/>
        </w:rPr>
        <w:t>www.lithium-argentina.com</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153A57"/>
        </w:rPr>
        <w:t>ABOUT LITHIUM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603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37160"/>
                    </a:xfrm>
                    <a:prstGeom prst="rect">
                      <a:avLst/>
                    </a:prstGeom>
                    <a:noFill/>
                  </pic:spPr>
                </pic:pic>
              </a:graphicData>
            </a:graphic>
          </wp:anchor>
        </w:drawing>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Lithium Argentina is a producer of lithium carbonate for use primarily in lithium-ion batteries and electric vehicles. The Company, in partnership with Ganfeng Lithium Group Co., Ltd. ("</w:t>
      </w:r>
      <w:r>
        <w:rPr>
          <w:rFonts w:ascii="Times New Roman" w:cs="Times New Roman" w:eastAsia="Times New Roman" w:hAnsi="Times New Roman"/>
          <w:sz w:val="22"/>
          <w:szCs w:val="22"/>
          <w:b w:val="1"/>
          <w:bCs w:val="1"/>
          <w:color w:val="auto"/>
        </w:rPr>
        <w:t>Ganfeng</w:t>
      </w:r>
      <w:r>
        <w:rPr>
          <w:rFonts w:ascii="Times New Roman" w:cs="Times New Roman" w:eastAsia="Times New Roman" w:hAnsi="Times New Roman"/>
          <w:sz w:val="22"/>
          <w:szCs w:val="22"/>
          <w:color w:val="auto"/>
        </w:rPr>
        <w:t>") operates the Cauchari-Olaroz lithium brine operation in the Jujuy province of Argentina and is advancing PPG in the Salta province of Argentina. Lithium Argentina currently trades on the TSX and on the NYSE under the ticker "LAR".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Telephone: +1 778-653-8092</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kelly.obrien@lithium-argentina.com</w:t>
      </w:r>
    </w:p>
    <w:p>
      <w:pPr>
        <w:spacing w:after="0"/>
        <w:rPr>
          <w:sz w:val="20"/>
          <w:szCs w:val="20"/>
          <w:color w:val="auto"/>
        </w:rPr>
      </w:pPr>
      <w:r>
        <w:rPr>
          <w:rFonts w:ascii="Times New Roman" w:cs="Times New Roman" w:eastAsia="Times New Roman" w:hAnsi="Times New Roman"/>
          <w:sz w:val="22"/>
          <w:szCs w:val="22"/>
          <w:color w:val="auto"/>
        </w:rPr>
        <w:t xml:space="preserve">Website: </w:t>
      </w:r>
      <w:r>
        <w:rPr>
          <w:rFonts w:ascii="Times New Roman" w:cs="Times New Roman" w:eastAsia="Times New Roman" w:hAnsi="Times New Roman"/>
          <w:sz w:val="22"/>
          <w:szCs w:val="22"/>
          <w:u w:val="single" w:color="auto"/>
          <w:color w:val="0000FF"/>
        </w:rPr>
        <w:t>http://www.lithium-argentina.com</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ind w:left="42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7940"/>
                    </a:xfrm>
                    <a:prstGeom prst="rect">
                      <a:avLst/>
                    </a:prstGeom>
                    <a:noFill/>
                  </pic:spPr>
                </pic:pic>
              </a:graphicData>
            </a:graphic>
          </wp:anchor>
        </w:drawing>
        <w:t>LITHIUM ARGENTINA AG</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Voting Results for Annual General Meeting of Shareholders of</w:t>
      </w:r>
    </w:p>
    <w:p>
      <w:pPr>
        <w:spacing w:after="0" w:line="1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Lithium Argentina AG (the "Company") held on June 19, 2026 (the "Meeting")</w:t>
      </w:r>
    </w:p>
    <w:p>
      <w:pPr>
        <w:spacing w:after="0" w:line="13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REPORT OF VOTING RESULTS</w:t>
      </w:r>
    </w:p>
    <w:p>
      <w:pPr>
        <w:spacing w:after="0" w:line="16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i w:val="1"/>
          <w:iCs w:val="1"/>
          <w:color w:val="auto"/>
        </w:rPr>
        <w:t>National Instrument 51-102 - Continuous Disclosure Obligations</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i w:val="1"/>
          <w:iCs w:val="1"/>
          <w:color w:val="auto"/>
        </w:rPr>
        <w:t>Section 11.3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Matters Voted Upon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28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1.  Approve   the   Swiss   consolidated   financial</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39,718,409</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307,184</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130,522</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statements of the Company for the year ended</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(98.91%)</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(0.76%)</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(0.33%)</w:t>
            </w: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December  31,  2025,  and  the  Swiss  statutory</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standalone financial statements of the Company</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2025, together</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with the respective reports of the auditor thereon</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28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2.  Approve the appropriation of the accumulated loss</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39,677,729</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241,389</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236,997</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for fiscal year 2025</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(98.81%)</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(0.60%)</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(0.59%)</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28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3.  Approve the discharge of the members of the</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39,019,725</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969,376</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167,014</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Board of Directors of the Company (the "Board")</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(97.17%)</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(2.41%)</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(0.42%)</w:t>
            </w: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and  of  the  executive  management  team  from</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liability for the activities during fiscal year 2025</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28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4.  Approve the Company's new amended and restated</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26,559,894</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8"/>
              </w:rPr>
              <w:t>13,371,111</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225,110</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280" w:type="dxa"/>
            <w:vAlign w:val="bottom"/>
            <w:gridSpan w:val="2"/>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equity incentive plan</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(66.14%)</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(33.30%)</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(0.56%)</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Re-elect the eight directors of the Company, each</w:t>
            </w: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428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for a term extending until completion of the next</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annual general meeting:</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40" w:type="dxa"/>
            <w:vAlign w:val="bottom"/>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(a)</w:t>
            </w:r>
          </w:p>
        </w:tc>
        <w:tc>
          <w:tcPr>
            <w:tcW w:w="3640" w:type="dxa"/>
            <w:vAlign w:val="bottom"/>
            <w:shd w:val="clear" w:color="auto" w:fill="E6EFFF"/>
          </w:tcPr>
          <w:p>
            <w:pPr>
              <w:ind w:left="80"/>
              <w:spacing w:after="0" w:line="198" w:lineRule="exact"/>
              <w:rPr>
                <w:sz w:val="20"/>
                <w:szCs w:val="20"/>
                <w:color w:val="auto"/>
              </w:rPr>
            </w:pPr>
            <w:r>
              <w:rPr>
                <w:rFonts w:ascii="Times New Roman" w:cs="Times New Roman" w:eastAsia="Times New Roman" w:hAnsi="Times New Roman"/>
                <w:sz w:val="18"/>
                <w:szCs w:val="18"/>
                <w:color w:val="auto"/>
              </w:rPr>
              <w:t>John Kanellitsas</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35,743,528</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9"/>
              </w:rPr>
              <w:t>4,316,352</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96,235</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40" w:type="dxa"/>
            <w:vAlign w:val="bottom"/>
            <w:shd w:val="clear" w:color="auto" w:fill="E6EFFF"/>
          </w:tcPr>
          <w:p>
            <w:pPr>
              <w:spacing w:after="0"/>
              <w:rPr>
                <w:sz w:val="20"/>
                <w:szCs w:val="20"/>
                <w:color w:val="auto"/>
              </w:rPr>
            </w:pPr>
          </w:p>
        </w:tc>
        <w:tc>
          <w:tcPr>
            <w:tcW w:w="36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(89.01%)</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(10.75%)</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(0.24%)</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40" w:type="dxa"/>
            <w:vAlign w:val="bottom"/>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(b)</w:t>
            </w:r>
          </w:p>
        </w:tc>
        <w:tc>
          <w:tcPr>
            <w:tcW w:w="3640" w:type="dxa"/>
            <w:vAlign w:val="bottom"/>
            <w:shd w:val="clear" w:color="auto" w:fill="E6EFFF"/>
          </w:tcPr>
          <w:p>
            <w:pPr>
              <w:ind w:left="80"/>
              <w:spacing w:after="0" w:line="198" w:lineRule="exact"/>
              <w:rPr>
                <w:sz w:val="20"/>
                <w:szCs w:val="20"/>
                <w:color w:val="auto"/>
              </w:rPr>
            </w:pPr>
            <w:r>
              <w:rPr>
                <w:rFonts w:ascii="Times New Roman" w:cs="Times New Roman" w:eastAsia="Times New Roman" w:hAnsi="Times New Roman"/>
                <w:sz w:val="18"/>
                <w:szCs w:val="18"/>
                <w:color w:val="auto"/>
              </w:rPr>
              <w:t>Sam Pigott</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39,633,596</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357,040</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165,479</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40" w:type="dxa"/>
            <w:vAlign w:val="bottom"/>
            <w:shd w:val="clear" w:color="auto" w:fill="E6EFFF"/>
          </w:tcPr>
          <w:p>
            <w:pPr>
              <w:spacing w:after="0"/>
              <w:rPr>
                <w:sz w:val="20"/>
                <w:szCs w:val="20"/>
                <w:color w:val="auto"/>
              </w:rPr>
            </w:pPr>
          </w:p>
        </w:tc>
        <w:tc>
          <w:tcPr>
            <w:tcW w:w="36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(98.70%)</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(0.89%)</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(0.41%)</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40" w:type="dxa"/>
            <w:vAlign w:val="bottom"/>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(c)</w:t>
            </w:r>
          </w:p>
        </w:tc>
        <w:tc>
          <w:tcPr>
            <w:tcW w:w="3640" w:type="dxa"/>
            <w:vAlign w:val="bottom"/>
            <w:shd w:val="clear" w:color="auto" w:fill="E6EFFF"/>
          </w:tcPr>
          <w:p>
            <w:pPr>
              <w:ind w:left="80"/>
              <w:spacing w:after="0" w:line="198" w:lineRule="exact"/>
              <w:rPr>
                <w:sz w:val="20"/>
                <w:szCs w:val="20"/>
                <w:color w:val="auto"/>
              </w:rPr>
            </w:pPr>
            <w:r>
              <w:rPr>
                <w:rFonts w:ascii="Times New Roman" w:cs="Times New Roman" w:eastAsia="Times New Roman" w:hAnsi="Times New Roman"/>
                <w:sz w:val="18"/>
                <w:szCs w:val="18"/>
                <w:color w:val="auto"/>
              </w:rPr>
              <w:t>George Ireland</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39,124,887</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922,361</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108,867</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40" w:type="dxa"/>
            <w:vAlign w:val="bottom"/>
            <w:shd w:val="clear" w:color="auto" w:fill="E6EFFF"/>
          </w:tcPr>
          <w:p>
            <w:pPr>
              <w:spacing w:after="0"/>
              <w:rPr>
                <w:sz w:val="20"/>
                <w:szCs w:val="20"/>
                <w:color w:val="auto"/>
              </w:rPr>
            </w:pPr>
          </w:p>
        </w:tc>
        <w:tc>
          <w:tcPr>
            <w:tcW w:w="36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(97.43%)</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(2.30%)</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(0.27%)</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640" w:type="dxa"/>
            <w:vAlign w:val="bottom"/>
            <w:shd w:val="clear" w:color="auto" w:fill="000000"/>
          </w:tcPr>
          <w:p>
            <w:pPr>
              <w:spacing w:after="0"/>
              <w:rPr>
                <w:sz w:val="6"/>
                <w:szCs w:val="6"/>
                <w:color w:val="auto"/>
              </w:rPr>
            </w:pPr>
          </w:p>
        </w:tc>
        <w:tc>
          <w:tcPr>
            <w:tcW w:w="36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24" w:right="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226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Diego Lopez Casanello</w:t>
            </w: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39,784,400</w:t>
            </w: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194,603</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177,112</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(99.07%)</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(0.48%)</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(0.44%)</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(e)</w:t>
            </w:r>
          </w:p>
        </w:tc>
        <w:tc>
          <w:tcPr>
            <w:tcW w:w="132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Robert Doyle</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39,214,939</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763,097</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178,079</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(97.66%)</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(1.90%)</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(0.44%)</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(f)</w:t>
            </w:r>
          </w:p>
        </w:tc>
        <w:tc>
          <w:tcPr>
            <w:tcW w:w="132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Franco Mignacco</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35,701,992</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9"/>
              </w:rPr>
              <w:t>4,281,796</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172,327</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(88.91%)</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(10.66%)</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(0.43%)</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(g)</w:t>
            </w:r>
          </w:p>
        </w:tc>
        <w:tc>
          <w:tcPr>
            <w:tcW w:w="132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Calum Morrison</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37,565,051</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9"/>
              </w:rPr>
              <w:t>1,518,623</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1,072,441</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(93.55%)</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(3.78%)</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(2.67%)</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(h)</w:t>
            </w:r>
          </w:p>
        </w:tc>
        <w:tc>
          <w:tcPr>
            <w:tcW w:w="132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Monica Moretto</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39,776,372</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206,999</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172,744</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(99.05%)</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(0.52%)</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(0.43%)</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280" w:type="dxa"/>
            <w:vAlign w:val="bottom"/>
            <w:gridSpan w:val="7"/>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6.  Re-elect John Kanellitsas as Chair of the Board for</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39,586,209</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389,279</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180,627</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0" w:type="dxa"/>
            <w:vAlign w:val="bottom"/>
            <w:shd w:val="clear" w:color="auto" w:fill="E6EFFF"/>
          </w:tcPr>
          <w:p>
            <w:pPr>
              <w:spacing w:after="0"/>
              <w:rPr>
                <w:sz w:val="18"/>
                <w:szCs w:val="18"/>
                <w:color w:val="auto"/>
              </w:rPr>
            </w:pPr>
          </w:p>
        </w:tc>
        <w:tc>
          <w:tcPr>
            <w:tcW w:w="4000" w:type="dxa"/>
            <w:vAlign w:val="bottom"/>
            <w:gridSpan w:val="6"/>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 term extending until completion of the next</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(98.58%)</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(0.97%)</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(0.45%)</w:t>
            </w: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80" w:type="dxa"/>
            <w:vAlign w:val="bottom"/>
            <w:shd w:val="clear" w:color="auto" w:fill="E6EFFF"/>
          </w:tcPr>
          <w:p>
            <w:pPr>
              <w:spacing w:after="0"/>
              <w:rPr>
                <w:sz w:val="20"/>
                <w:szCs w:val="20"/>
                <w:color w:val="auto"/>
              </w:rPr>
            </w:pPr>
          </w:p>
        </w:tc>
        <w:tc>
          <w:tcPr>
            <w:tcW w:w="1760" w:type="dxa"/>
            <w:vAlign w:val="bottom"/>
            <w:gridSpan w:val="3"/>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w w:val="99"/>
              </w:rPr>
              <w:t>annual general meeting</w:t>
            </w: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4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7.  Re-elect the three members of the Governance,</w:t>
            </w: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Nomination,</w:t>
            </w:r>
          </w:p>
        </w:tc>
        <w:tc>
          <w:tcPr>
            <w:tcW w:w="1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Compensation   and</w:t>
            </w:r>
          </w:p>
        </w:tc>
        <w:tc>
          <w:tcPr>
            <w:tcW w:w="130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Leadership</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280" w:type="dxa"/>
            <w:vAlign w:val="bottom"/>
          </w:tcPr>
          <w:p>
            <w:pPr>
              <w:spacing w:after="0"/>
              <w:rPr>
                <w:sz w:val="18"/>
                <w:szCs w:val="18"/>
                <w:color w:val="auto"/>
              </w:rPr>
            </w:pPr>
          </w:p>
        </w:tc>
        <w:tc>
          <w:tcPr>
            <w:tcW w:w="40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Committee,  each  for  a  term  extending  until</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40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completion of the next annual general meeting:</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(a)</w:t>
            </w:r>
          </w:p>
        </w:tc>
        <w:tc>
          <w:tcPr>
            <w:tcW w:w="1320" w:type="dxa"/>
            <w:vAlign w:val="bottom"/>
            <w:gridSpan w:val="2"/>
            <w:shd w:val="clear" w:color="auto" w:fill="E6EFFF"/>
          </w:tcPr>
          <w:p>
            <w:pPr>
              <w:ind w:left="20"/>
              <w:spacing w:after="0" w:line="198" w:lineRule="exact"/>
              <w:rPr>
                <w:sz w:val="20"/>
                <w:szCs w:val="20"/>
                <w:color w:val="auto"/>
              </w:rPr>
            </w:pPr>
            <w:r>
              <w:rPr>
                <w:rFonts w:ascii="Times New Roman" w:cs="Times New Roman" w:eastAsia="Times New Roman" w:hAnsi="Times New Roman"/>
                <w:sz w:val="18"/>
                <w:szCs w:val="18"/>
                <w:color w:val="auto"/>
              </w:rPr>
              <w:t>Calum Morrison</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27,761,383</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8"/>
              </w:rPr>
              <w:t>12,211,412</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183,320</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(69.13%)</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(30.41%)</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(0.46%)</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(b)</w:t>
            </w:r>
          </w:p>
        </w:tc>
        <w:tc>
          <w:tcPr>
            <w:tcW w:w="132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George Ireland</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38,403,348</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9"/>
              </w:rPr>
              <w:t>1,630,379</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122,388</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(95.64%)</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(4.06%)</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(0.30%)</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80" w:type="dxa"/>
            <w:vAlign w:val="bottom"/>
            <w:shd w:val="clear" w:color="auto" w:fill="E6EFFF"/>
          </w:tcPr>
          <w:p>
            <w:pPr>
              <w:spacing w:after="0"/>
              <w:rPr>
                <w:sz w:val="17"/>
                <w:szCs w:val="17"/>
                <w:color w:val="auto"/>
              </w:rPr>
            </w:pP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(c)</w:t>
            </w:r>
          </w:p>
        </w:tc>
        <w:tc>
          <w:tcPr>
            <w:tcW w:w="132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Robert Doyle</w:t>
            </w:r>
          </w:p>
        </w:tc>
        <w:tc>
          <w:tcPr>
            <w:tcW w:w="94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38,719,121</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9"/>
              </w:rPr>
              <w:t>1,239,540</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197,454</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620" w:type="dxa"/>
            <w:vAlign w:val="bottom"/>
            <w:shd w:val="clear" w:color="auto" w:fill="E6EFFF"/>
          </w:tcPr>
          <w:p>
            <w:pPr>
              <w:spacing w:after="0"/>
              <w:rPr>
                <w:sz w:val="20"/>
                <w:szCs w:val="20"/>
                <w:color w:val="auto"/>
              </w:rPr>
            </w:pP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(96.42%)</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(3.09%)</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(0.49%)</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980" w:type="dxa"/>
            <w:vAlign w:val="bottom"/>
            <w:gridSpan w:val="5"/>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8.  Appoint for the financial year 2026,</w:t>
            </w:r>
          </w:p>
        </w:tc>
        <w:tc>
          <w:tcPr>
            <w:tcW w:w="54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28,402,556</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8"/>
              </w:rPr>
              <w:t>11,677,462</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76,097</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0" w:type="dxa"/>
            <w:vAlign w:val="bottom"/>
            <w:shd w:val="clear" w:color="auto" w:fill="E6EFFF"/>
          </w:tcPr>
          <w:p>
            <w:pPr>
              <w:spacing w:after="0"/>
              <w:rPr>
                <w:sz w:val="18"/>
                <w:szCs w:val="18"/>
                <w:color w:val="auto"/>
              </w:rPr>
            </w:pPr>
          </w:p>
        </w:tc>
        <w:tc>
          <w:tcPr>
            <w:tcW w:w="3240" w:type="dxa"/>
            <w:vAlign w:val="bottom"/>
            <w:gridSpan w:val="5"/>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PricewaterhouseCoopers LLP, Chartered</w:t>
            </w:r>
          </w:p>
        </w:tc>
        <w:tc>
          <w:tcPr>
            <w:tcW w:w="76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(70.73%)</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(29.08%)</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(0.19%)</w:t>
            </w: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0" w:type="dxa"/>
            <w:vAlign w:val="bottom"/>
            <w:shd w:val="clear" w:color="auto" w:fill="E6EFFF"/>
          </w:tcPr>
          <w:p>
            <w:pPr>
              <w:spacing w:after="0"/>
              <w:rPr>
                <w:sz w:val="18"/>
                <w:szCs w:val="18"/>
                <w:color w:val="auto"/>
              </w:rPr>
            </w:pPr>
          </w:p>
        </w:tc>
        <w:tc>
          <w:tcPr>
            <w:tcW w:w="3240" w:type="dxa"/>
            <w:vAlign w:val="bottom"/>
            <w:gridSpan w:val="5"/>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Professional Accountants, as auditor of the</w:t>
            </w:r>
          </w:p>
        </w:tc>
        <w:tc>
          <w:tcPr>
            <w:tcW w:w="76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80" w:type="dxa"/>
            <w:vAlign w:val="bottom"/>
            <w:shd w:val="clear" w:color="auto" w:fill="E6EFFF"/>
          </w:tcPr>
          <w:p>
            <w:pPr>
              <w:spacing w:after="0"/>
              <w:rPr>
                <w:sz w:val="20"/>
                <w:szCs w:val="20"/>
                <w:color w:val="auto"/>
              </w:rPr>
            </w:pPr>
          </w:p>
        </w:tc>
        <w:tc>
          <w:tcPr>
            <w:tcW w:w="106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700" w:type="dxa"/>
            <w:vAlign w:val="bottom"/>
            <w:shd w:val="clear" w:color="auto" w:fill="E6EFFF"/>
          </w:tcPr>
          <w:p>
            <w:pPr>
              <w:spacing w:after="0"/>
              <w:rPr>
                <w:sz w:val="20"/>
                <w:szCs w:val="20"/>
                <w:color w:val="auto"/>
              </w:rPr>
            </w:pP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80" w:type="dxa"/>
            <w:vAlign w:val="bottom"/>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44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w w:val="97"/>
              </w:rPr>
              <w:t>Elect</w:t>
            </w:r>
          </w:p>
        </w:tc>
        <w:tc>
          <w:tcPr>
            <w:tcW w:w="620" w:type="dxa"/>
            <w:vAlign w:val="bottom"/>
            <w:shd w:val="clear" w:color="auto" w:fill="E6EFFF"/>
          </w:tcPr>
          <w:p>
            <w:pPr>
              <w:ind w:left="300"/>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700" w:type="dxa"/>
            <w:vAlign w:val="bottom"/>
            <w:shd w:val="clear" w:color="auto" w:fill="E6EFFF"/>
          </w:tcPr>
          <w:p>
            <w:pPr>
              <w:ind w:left="180"/>
              <w:spacing w:after="0" w:line="198" w:lineRule="exact"/>
              <w:rPr>
                <w:sz w:val="20"/>
                <w:szCs w:val="20"/>
                <w:color w:val="auto"/>
              </w:rPr>
            </w:pPr>
            <w:r>
              <w:rPr>
                <w:rFonts w:ascii="Times New Roman" w:cs="Times New Roman" w:eastAsia="Times New Roman" w:hAnsi="Times New Roman"/>
                <w:sz w:val="18"/>
                <w:szCs w:val="18"/>
                <w:color w:val="auto"/>
              </w:rPr>
              <w:t>the</w:t>
            </w:r>
          </w:p>
        </w:tc>
        <w:tc>
          <w:tcPr>
            <w:tcW w:w="940" w:type="dxa"/>
            <w:vAlign w:val="bottom"/>
            <w:shd w:val="clear" w:color="auto" w:fill="E6EF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financial</w:t>
            </w:r>
          </w:p>
        </w:tc>
        <w:tc>
          <w:tcPr>
            <w:tcW w:w="540" w:type="dxa"/>
            <w:vAlign w:val="bottom"/>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year</w:t>
            </w:r>
          </w:p>
        </w:tc>
        <w:tc>
          <w:tcPr>
            <w:tcW w:w="760" w:type="dxa"/>
            <w:vAlign w:val="bottom"/>
            <w:shd w:val="clear" w:color="auto" w:fill="E6EF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28,325,713</w:t>
            </w:r>
          </w:p>
        </w:tc>
        <w:tc>
          <w:tcPr>
            <w:tcW w:w="1480" w:type="dxa"/>
            <w:vAlign w:val="bottom"/>
            <w:gridSpan w:val="2"/>
            <w:shd w:val="clear" w:color="auto" w:fill="E6EF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w w:val="98"/>
              </w:rPr>
              <w:t>11,685,925</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144,477</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0" w:type="dxa"/>
            <w:vAlign w:val="bottom"/>
            <w:shd w:val="clear" w:color="auto" w:fill="E6EFFF"/>
          </w:tcPr>
          <w:p>
            <w:pPr>
              <w:spacing w:after="0"/>
              <w:rPr>
                <w:sz w:val="18"/>
                <w:szCs w:val="18"/>
                <w:color w:val="auto"/>
              </w:rPr>
            </w:pPr>
          </w:p>
        </w:tc>
        <w:tc>
          <w:tcPr>
            <w:tcW w:w="4000" w:type="dxa"/>
            <w:vAlign w:val="bottom"/>
            <w:gridSpan w:val="6"/>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PricewaterhouseCoopers AG, Zug, Switzerland, as</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(70.54%)</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(29.10%)</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(0.36%)</w:t>
            </w:r>
          </w:p>
        </w:tc>
        <w:tc>
          <w:tcPr>
            <w:tcW w:w="36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80" w:type="dxa"/>
            <w:vAlign w:val="bottom"/>
            <w:shd w:val="clear" w:color="auto" w:fill="E6EFFF"/>
          </w:tcPr>
          <w:p>
            <w:pPr>
              <w:spacing w:after="0"/>
              <w:rPr>
                <w:sz w:val="20"/>
                <w:szCs w:val="20"/>
                <w:color w:val="auto"/>
              </w:rPr>
            </w:pPr>
          </w:p>
        </w:tc>
        <w:tc>
          <w:tcPr>
            <w:tcW w:w="1760" w:type="dxa"/>
            <w:vAlign w:val="bottom"/>
            <w:gridSpan w:val="3"/>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Swiss statutory auditor</w:t>
            </w:r>
          </w:p>
        </w:tc>
        <w:tc>
          <w:tcPr>
            <w:tcW w:w="940" w:type="dxa"/>
            <w:vAlign w:val="bottom"/>
            <w:shd w:val="clear" w:color="auto" w:fill="E6EFFF"/>
          </w:tcPr>
          <w:p>
            <w:pPr>
              <w:spacing w:after="0"/>
              <w:rPr>
                <w:sz w:val="20"/>
                <w:szCs w:val="20"/>
                <w:color w:val="auto"/>
              </w:rPr>
            </w:pP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80" w:type="dxa"/>
            <w:vAlign w:val="bottom"/>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10.</w:t>
            </w:r>
          </w:p>
        </w:tc>
        <w:tc>
          <w:tcPr>
            <w:tcW w:w="4000" w:type="dxa"/>
            <w:vAlign w:val="bottom"/>
            <w:gridSpan w:val="6"/>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Approve a non-binding advisory resolution on the</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26,558,532</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rPr>
              <w:t>13,351,481</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246,102</w:t>
            </w:r>
          </w:p>
        </w:tc>
        <w:tc>
          <w:tcPr>
            <w:tcW w:w="36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2700" w:type="dxa"/>
            <w:vAlign w:val="bottom"/>
            <w:gridSpan w:val="4"/>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Company's executive compensation</w:t>
            </w:r>
          </w:p>
        </w:tc>
        <w:tc>
          <w:tcPr>
            <w:tcW w:w="540" w:type="dxa"/>
            <w:vAlign w:val="bottom"/>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(66.14%)</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(33.25%)</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(0.61%)</w:t>
            </w:r>
          </w:p>
        </w:tc>
        <w:tc>
          <w:tcPr>
            <w:tcW w:w="36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2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73" w:right="2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r>
      <w:tr>
        <w:trPr>
          <w:trHeight w:val="196"/>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428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11. Approve the maximum aggregate compensation of</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38,941,464</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979,711</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234,940</w:t>
            </w:r>
          </w:p>
        </w:tc>
        <w:tc>
          <w:tcPr>
            <w:tcW w:w="360" w:type="dxa"/>
            <w:vAlign w:val="bottom"/>
            <w:shd w:val="clear" w:color="auto" w:fill="E6EFFF"/>
          </w:tcPr>
          <w:p>
            <w:pPr>
              <w:spacing w:after="0"/>
              <w:rPr>
                <w:sz w:val="17"/>
                <w:szCs w:val="17"/>
                <w:color w:val="auto"/>
              </w:rPr>
            </w:pPr>
          </w:p>
        </w:tc>
      </w:tr>
      <w:tr>
        <w:trPr>
          <w:trHeight w:val="216"/>
        </w:trPr>
        <w:tc>
          <w:tcPr>
            <w:tcW w:w="280" w:type="dxa"/>
            <w:vAlign w:val="bottom"/>
            <w:shd w:val="clear" w:color="auto" w:fill="E6EFFF"/>
          </w:tcPr>
          <w:p>
            <w:pPr>
              <w:spacing w:after="0"/>
              <w:rPr>
                <w:sz w:val="18"/>
                <w:szCs w:val="18"/>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the Board for the period until the next annual</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(96.98%)</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(2.44%)</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(0.59%)</w:t>
            </w:r>
          </w:p>
        </w:tc>
        <w:tc>
          <w:tcPr>
            <w:tcW w:w="360" w:type="dxa"/>
            <w:vAlign w:val="bottom"/>
            <w:shd w:val="clear" w:color="auto" w:fill="E6EFFF"/>
          </w:tcPr>
          <w:p>
            <w:pPr>
              <w:spacing w:after="0"/>
              <w:rPr>
                <w:sz w:val="18"/>
                <w:szCs w:val="18"/>
                <w:color w:val="auto"/>
              </w:rPr>
            </w:pPr>
          </w:p>
        </w:tc>
      </w:tr>
      <w:tr>
        <w:trPr>
          <w:trHeight w:val="234"/>
        </w:trPr>
        <w:tc>
          <w:tcPr>
            <w:tcW w:w="280" w:type="dxa"/>
            <w:vAlign w:val="bottom"/>
            <w:shd w:val="clear" w:color="auto" w:fill="E6EFFF"/>
          </w:tcPr>
          <w:p>
            <w:pPr>
              <w:spacing w:after="0"/>
              <w:rPr>
                <w:sz w:val="20"/>
                <w:szCs w:val="20"/>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general meeting</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r>
      <w:tr>
        <w:trPr>
          <w:trHeight w:val="196"/>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280" w:type="dxa"/>
            <w:vAlign w:val="bottom"/>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400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Approve the maximum aggregate compensation of</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38,977,510</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936,819</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241,786</w:t>
            </w:r>
          </w:p>
        </w:tc>
        <w:tc>
          <w:tcPr>
            <w:tcW w:w="360" w:type="dxa"/>
            <w:vAlign w:val="bottom"/>
            <w:shd w:val="clear" w:color="auto" w:fill="E6EFFF"/>
          </w:tcPr>
          <w:p>
            <w:pPr>
              <w:spacing w:after="0"/>
              <w:rPr>
                <w:sz w:val="17"/>
                <w:szCs w:val="17"/>
                <w:color w:val="auto"/>
              </w:rPr>
            </w:pPr>
          </w:p>
        </w:tc>
      </w:tr>
      <w:tr>
        <w:trPr>
          <w:trHeight w:val="216"/>
        </w:trPr>
        <w:tc>
          <w:tcPr>
            <w:tcW w:w="280" w:type="dxa"/>
            <w:vAlign w:val="bottom"/>
            <w:shd w:val="clear" w:color="auto" w:fill="E6EFFF"/>
          </w:tcPr>
          <w:p>
            <w:pPr>
              <w:spacing w:after="0"/>
              <w:rPr>
                <w:sz w:val="18"/>
                <w:szCs w:val="18"/>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the executive management team for the financial</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(97.06%)</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(2.33%)</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(0.60%)</w:t>
            </w:r>
          </w:p>
        </w:tc>
        <w:tc>
          <w:tcPr>
            <w:tcW w:w="360" w:type="dxa"/>
            <w:vAlign w:val="bottom"/>
            <w:shd w:val="clear" w:color="auto" w:fill="E6EFFF"/>
          </w:tcPr>
          <w:p>
            <w:pPr>
              <w:spacing w:after="0"/>
              <w:rPr>
                <w:sz w:val="18"/>
                <w:szCs w:val="18"/>
                <w:color w:val="auto"/>
              </w:rPr>
            </w:pPr>
          </w:p>
        </w:tc>
      </w:tr>
      <w:tr>
        <w:trPr>
          <w:trHeight w:val="234"/>
        </w:trPr>
        <w:tc>
          <w:tcPr>
            <w:tcW w:w="280" w:type="dxa"/>
            <w:vAlign w:val="bottom"/>
            <w:shd w:val="clear" w:color="auto" w:fill="E6EFFF"/>
          </w:tcPr>
          <w:p>
            <w:pPr>
              <w:spacing w:after="0"/>
              <w:rPr>
                <w:sz w:val="20"/>
                <w:szCs w:val="20"/>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year 2027 under Swiss</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r>
      <w:tr>
        <w:trPr>
          <w:trHeight w:val="196"/>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280" w:type="dxa"/>
            <w:vAlign w:val="bottom"/>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4000" w:type="dxa"/>
            <w:vAlign w:val="bottom"/>
            <w:shd w:val="clear" w:color="auto" w:fill="E6EFFF"/>
          </w:tcPr>
          <w:p>
            <w:pPr>
              <w:ind w:left="60"/>
              <w:spacing w:after="0" w:line="198" w:lineRule="exact"/>
              <w:rPr>
                <w:sz w:val="20"/>
                <w:szCs w:val="20"/>
                <w:color w:val="auto"/>
              </w:rPr>
            </w:pPr>
            <w:r>
              <w:rPr>
                <w:rFonts w:ascii="Times New Roman" w:cs="Times New Roman" w:eastAsia="Times New Roman" w:hAnsi="Times New Roman"/>
                <w:sz w:val="18"/>
                <w:szCs w:val="18"/>
                <w:color w:val="auto"/>
              </w:rPr>
              <w:t>Approve a non-binding advisory resolution on the</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26,310,282</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rPr>
              <w:t>13,623,968</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221,865</w:t>
            </w:r>
          </w:p>
        </w:tc>
        <w:tc>
          <w:tcPr>
            <w:tcW w:w="360" w:type="dxa"/>
            <w:vAlign w:val="bottom"/>
            <w:shd w:val="clear" w:color="auto" w:fill="E6EFFF"/>
          </w:tcPr>
          <w:p>
            <w:pPr>
              <w:spacing w:after="0"/>
              <w:rPr>
                <w:sz w:val="17"/>
                <w:szCs w:val="17"/>
                <w:color w:val="auto"/>
              </w:rPr>
            </w:pPr>
          </w:p>
        </w:tc>
      </w:tr>
      <w:tr>
        <w:trPr>
          <w:trHeight w:val="234"/>
        </w:trPr>
        <w:tc>
          <w:tcPr>
            <w:tcW w:w="280" w:type="dxa"/>
            <w:vAlign w:val="bottom"/>
            <w:shd w:val="clear" w:color="auto" w:fill="E6EFFF"/>
          </w:tcPr>
          <w:p>
            <w:pPr>
              <w:spacing w:after="0"/>
              <w:rPr>
                <w:sz w:val="20"/>
                <w:szCs w:val="20"/>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Swiss statutory compensation report</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(65.52%)</w:t>
            </w:r>
          </w:p>
        </w:tc>
        <w:tc>
          <w:tcPr>
            <w:tcW w:w="460" w:type="dxa"/>
            <w:vAlign w:val="bottom"/>
            <w:shd w:val="clear" w:color="auto" w:fill="E6EFFF"/>
          </w:tcPr>
          <w:p>
            <w:pPr>
              <w:spacing w:after="0"/>
              <w:rPr>
                <w:sz w:val="20"/>
                <w:szCs w:val="20"/>
                <w:color w:val="auto"/>
              </w:rPr>
            </w:pPr>
          </w:p>
        </w:tc>
        <w:tc>
          <w:tcPr>
            <w:tcW w:w="1480" w:type="dxa"/>
            <w:vAlign w:val="bottom"/>
            <w:gridSpan w:val="2"/>
            <w:shd w:val="clear" w:color="auto" w:fill="E6EFFF"/>
          </w:tcPr>
          <w:p>
            <w:pPr>
              <w:jc w:val="center"/>
              <w:ind w:left="310"/>
              <w:spacing w:after="0"/>
              <w:rPr>
                <w:sz w:val="20"/>
                <w:szCs w:val="20"/>
                <w:color w:val="auto"/>
              </w:rPr>
            </w:pPr>
            <w:r>
              <w:rPr>
                <w:rFonts w:ascii="Times New Roman" w:cs="Times New Roman" w:eastAsia="Times New Roman" w:hAnsi="Times New Roman"/>
                <w:sz w:val="18"/>
                <w:szCs w:val="18"/>
                <w:color w:val="auto"/>
              </w:rPr>
              <w:t>(33.93%)</w:t>
            </w: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(0.55%)</w:t>
            </w:r>
          </w:p>
        </w:tc>
        <w:tc>
          <w:tcPr>
            <w:tcW w:w="360" w:type="dxa"/>
            <w:vAlign w:val="bottom"/>
            <w:shd w:val="clear" w:color="auto" w:fill="E6EFFF"/>
          </w:tcPr>
          <w:p>
            <w:pPr>
              <w:spacing w:after="0"/>
              <w:rPr>
                <w:sz w:val="20"/>
                <w:szCs w:val="20"/>
                <w:color w:val="auto"/>
              </w:rPr>
            </w:pPr>
          </w:p>
        </w:tc>
      </w:tr>
      <w:tr>
        <w:trPr>
          <w:trHeight w:val="391"/>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Outcome of</w:t>
            </w:r>
          </w:p>
        </w:tc>
        <w:tc>
          <w:tcPr>
            <w:tcW w:w="17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r>
      <w:tr>
        <w:trPr>
          <w:trHeight w:val="196"/>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Vote</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237"/>
        </w:trPr>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4280" w:type="dxa"/>
            <w:vAlign w:val="bottom"/>
            <w:gridSpan w:val="2"/>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14. Elect Anwaltskanzlei Keller AG as the Swiss</w:t>
            </w:r>
          </w:p>
        </w:tc>
        <w:tc>
          <w:tcPr>
            <w:tcW w:w="280" w:type="dxa"/>
            <w:vAlign w:val="bottom"/>
            <w:shd w:val="clear" w:color="auto" w:fill="E6EFFF"/>
          </w:tcPr>
          <w:p>
            <w:pPr>
              <w:spacing w:after="0"/>
              <w:rPr>
                <w:sz w:val="17"/>
                <w:szCs w:val="17"/>
                <w:color w:val="auto"/>
              </w:rPr>
            </w:pPr>
          </w:p>
        </w:tc>
        <w:tc>
          <w:tcPr>
            <w:tcW w:w="1360" w:type="dxa"/>
            <w:vAlign w:val="bottom"/>
            <w:gridSpan w:val="4"/>
            <w:shd w:val="clear" w:color="auto" w:fill="E6EFFF"/>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1700" w:type="dxa"/>
            <w:vAlign w:val="bottom"/>
            <w:gridSpan w:val="3"/>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39,683,271</w:t>
            </w:r>
          </w:p>
        </w:tc>
        <w:tc>
          <w:tcPr>
            <w:tcW w:w="1480" w:type="dxa"/>
            <w:vAlign w:val="bottom"/>
            <w:gridSpan w:val="2"/>
            <w:shd w:val="clear" w:color="auto" w:fill="E6EF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292,777</w:t>
            </w:r>
          </w:p>
        </w:tc>
        <w:tc>
          <w:tcPr>
            <w:tcW w:w="720" w:type="dxa"/>
            <w:vAlign w:val="bottom"/>
            <w:shd w:val="clear" w:color="auto" w:fill="E6EFFF"/>
          </w:tcPr>
          <w:p>
            <w:pPr>
              <w:spacing w:after="0"/>
              <w:rPr>
                <w:sz w:val="17"/>
                <w:szCs w:val="17"/>
                <w:color w:val="auto"/>
              </w:rPr>
            </w:pPr>
          </w:p>
        </w:tc>
        <w:tc>
          <w:tcPr>
            <w:tcW w:w="106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180,067</w:t>
            </w:r>
          </w:p>
        </w:tc>
        <w:tc>
          <w:tcPr>
            <w:tcW w:w="360" w:type="dxa"/>
            <w:vAlign w:val="bottom"/>
            <w:shd w:val="clear" w:color="auto" w:fill="E6EFFF"/>
          </w:tcPr>
          <w:p>
            <w:pPr>
              <w:spacing w:after="0"/>
              <w:rPr>
                <w:sz w:val="17"/>
                <w:szCs w:val="17"/>
                <w:color w:val="auto"/>
              </w:rPr>
            </w:pPr>
          </w:p>
        </w:tc>
      </w:tr>
      <w:tr>
        <w:trPr>
          <w:trHeight w:val="216"/>
        </w:trPr>
        <w:tc>
          <w:tcPr>
            <w:tcW w:w="280" w:type="dxa"/>
            <w:vAlign w:val="bottom"/>
            <w:shd w:val="clear" w:color="auto" w:fill="E6EFFF"/>
          </w:tcPr>
          <w:p>
            <w:pPr>
              <w:spacing w:after="0"/>
              <w:rPr>
                <w:sz w:val="18"/>
                <w:szCs w:val="18"/>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statutory independent voting rights representative</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center"/>
              <w:ind w:left="390"/>
              <w:spacing w:after="0"/>
              <w:rPr>
                <w:sz w:val="20"/>
                <w:szCs w:val="20"/>
                <w:color w:val="auto"/>
              </w:rPr>
            </w:pPr>
            <w:r>
              <w:rPr>
                <w:rFonts w:ascii="Times New Roman" w:cs="Times New Roman" w:eastAsia="Times New Roman" w:hAnsi="Times New Roman"/>
                <w:sz w:val="18"/>
                <w:szCs w:val="18"/>
                <w:color w:val="auto"/>
              </w:rPr>
              <w:t>(98.82%)</w:t>
            </w:r>
          </w:p>
        </w:tc>
        <w:tc>
          <w:tcPr>
            <w:tcW w:w="460" w:type="dxa"/>
            <w:vAlign w:val="bottom"/>
            <w:shd w:val="clear" w:color="auto" w:fill="E6EFFF"/>
          </w:tcPr>
          <w:p>
            <w:pPr>
              <w:spacing w:after="0"/>
              <w:rPr>
                <w:sz w:val="18"/>
                <w:szCs w:val="18"/>
                <w:color w:val="auto"/>
              </w:rPr>
            </w:pPr>
          </w:p>
        </w:tc>
        <w:tc>
          <w:tcPr>
            <w:tcW w:w="1480" w:type="dxa"/>
            <w:vAlign w:val="bottom"/>
            <w:gridSpan w:val="2"/>
            <w:shd w:val="clear" w:color="auto" w:fill="E6EFFF"/>
          </w:tcPr>
          <w:p>
            <w:pPr>
              <w:jc w:val="center"/>
              <w:ind w:left="330"/>
              <w:spacing w:after="0"/>
              <w:rPr>
                <w:sz w:val="20"/>
                <w:szCs w:val="20"/>
                <w:color w:val="auto"/>
              </w:rPr>
            </w:pPr>
            <w:r>
              <w:rPr>
                <w:rFonts w:ascii="Times New Roman" w:cs="Times New Roman" w:eastAsia="Times New Roman" w:hAnsi="Times New Roman"/>
                <w:sz w:val="18"/>
                <w:szCs w:val="18"/>
                <w:color w:val="auto"/>
                <w:w w:val="99"/>
              </w:rPr>
              <w:t>(0.73%)</w:t>
            </w: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(0.45%)</w:t>
            </w:r>
          </w:p>
        </w:tc>
        <w:tc>
          <w:tcPr>
            <w:tcW w:w="360" w:type="dxa"/>
            <w:vAlign w:val="bottom"/>
            <w:shd w:val="clear" w:color="auto" w:fill="E6EFFF"/>
          </w:tcPr>
          <w:p>
            <w:pPr>
              <w:spacing w:after="0"/>
              <w:rPr>
                <w:sz w:val="18"/>
                <w:szCs w:val="18"/>
                <w:color w:val="auto"/>
              </w:rPr>
            </w:pPr>
          </w:p>
        </w:tc>
      </w:tr>
      <w:tr>
        <w:trPr>
          <w:trHeight w:val="216"/>
        </w:trPr>
        <w:tc>
          <w:tcPr>
            <w:tcW w:w="280" w:type="dxa"/>
            <w:vAlign w:val="bottom"/>
            <w:shd w:val="clear" w:color="auto" w:fill="E6EFFF"/>
          </w:tcPr>
          <w:p>
            <w:pPr>
              <w:spacing w:after="0"/>
              <w:rPr>
                <w:sz w:val="18"/>
                <w:szCs w:val="18"/>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for a term extending until completion of the next</w:t>
            </w:r>
          </w:p>
        </w:tc>
        <w:tc>
          <w:tcPr>
            <w:tcW w:w="28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7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r>
      <w:tr>
        <w:trPr>
          <w:trHeight w:val="234"/>
        </w:trPr>
        <w:tc>
          <w:tcPr>
            <w:tcW w:w="280" w:type="dxa"/>
            <w:vAlign w:val="bottom"/>
            <w:shd w:val="clear" w:color="auto" w:fill="E6EFFF"/>
          </w:tcPr>
          <w:p>
            <w:pPr>
              <w:spacing w:after="0"/>
              <w:rPr>
                <w:sz w:val="20"/>
                <w:szCs w:val="20"/>
                <w:color w:val="auto"/>
              </w:rPr>
            </w:pPr>
          </w:p>
        </w:tc>
        <w:tc>
          <w:tcPr>
            <w:tcW w:w="40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annual general meeting</w:t>
            </w:r>
          </w:p>
        </w:tc>
        <w:tc>
          <w:tcPr>
            <w:tcW w:w="28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340" w:type="dxa"/>
            <w:vAlign w:val="bottom"/>
            <w:shd w:val="clear" w:color="auto" w:fill="E6EFFF"/>
          </w:tcPr>
          <w:p>
            <w:pPr>
              <w:spacing w:after="0"/>
              <w:rPr>
                <w:sz w:val="20"/>
                <w:szCs w:val="20"/>
                <w:color w:val="auto"/>
              </w:rPr>
            </w:pPr>
          </w:p>
        </w:tc>
        <w:tc>
          <w:tcPr>
            <w:tcW w:w="28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500" w:type="dxa"/>
            <w:vAlign w:val="bottom"/>
            <w:shd w:val="clear" w:color="auto" w:fill="E6EFFF"/>
          </w:tcPr>
          <w:p>
            <w:pPr>
              <w:spacing w:after="0"/>
              <w:rPr>
                <w:sz w:val="20"/>
                <w:szCs w:val="20"/>
                <w:color w:val="auto"/>
              </w:rPr>
            </w:pPr>
          </w:p>
        </w:tc>
        <w:tc>
          <w:tcPr>
            <w:tcW w:w="740" w:type="dxa"/>
            <w:vAlign w:val="bottom"/>
            <w:shd w:val="clear" w:color="auto" w:fill="E6EFFF"/>
          </w:tcPr>
          <w:p>
            <w:pPr>
              <w:spacing w:after="0"/>
              <w:rPr>
                <w:sz w:val="20"/>
                <w:szCs w:val="20"/>
                <w:color w:val="auto"/>
              </w:rPr>
            </w:pPr>
          </w:p>
        </w:tc>
        <w:tc>
          <w:tcPr>
            <w:tcW w:w="460" w:type="dxa"/>
            <w:vAlign w:val="bottom"/>
            <w:shd w:val="clear" w:color="auto" w:fill="E6EFFF"/>
          </w:tcPr>
          <w:p>
            <w:pPr>
              <w:spacing w:after="0"/>
              <w:rPr>
                <w:sz w:val="20"/>
                <w:szCs w:val="20"/>
                <w:color w:val="auto"/>
              </w:rPr>
            </w:pPr>
          </w:p>
        </w:tc>
        <w:tc>
          <w:tcPr>
            <w:tcW w:w="4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720" w:type="dxa"/>
            <w:vAlign w:val="bottom"/>
            <w:shd w:val="clear" w:color="auto" w:fill="E6EFFF"/>
          </w:tcPr>
          <w:p>
            <w:pPr>
              <w:spacing w:after="0"/>
              <w:rPr>
                <w:sz w:val="20"/>
                <w:szCs w:val="20"/>
                <w:color w:val="auto"/>
              </w:rPr>
            </w:pPr>
          </w:p>
        </w:tc>
        <w:tc>
          <w:tcPr>
            <w:tcW w:w="10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vote on all matters was conducted by way of written ballot cast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2026-06-23T10:30:49Z</dcterms:created>
  <dcterms:modified xsi:type="dcterms:W3CDTF">2026-06-23T10:30:49Z</dcterms:modified>
</cp:coreProperties>
</file>