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6-K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UNDER THE SECURITIES EXCHANGE ACT OF 1934</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For the month of: August 2026</w:t>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001-38350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Lithium Argentina AG</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Dammstrasse 19, 6300 Zug,</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Switzerland</w:t>
      </w:r>
    </w:p>
    <w:p>
      <w:pPr>
        <w:pStyle w:val="TextBody"/>
        <w:bidi w:val="0"/>
        <w:spacing w:lineRule="auto" w:line="288" w:before="0" w:after="20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900 West Hastings Street, Suite 310,</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Vancouver, British Columbia,</w:t>
      </w:r>
    </w:p>
    <w:p>
      <w:pPr>
        <w:pStyle w:val="TextBody"/>
        <w:bidi w:val="0"/>
        <w:spacing w:lineRule="auto" w:line="288" w:before="0" w:after="240"/>
        <w:jc w:val="center"/>
        <w:rPr>
          <w:rFonts w:ascii="Times New Roman;serif" w:hAnsi="Times New Roman;serif"/>
          <w:b/>
          <w:i/>
          <w:color w:val="000000"/>
          <w:sz w:val="20"/>
          <w:u w:val="single"/>
        </w:rPr>
      </w:pPr>
      <w:r>
        <w:rPr>
          <w:rFonts w:ascii="Times New Roman;serif" w:hAnsi="Times New Roman;serif"/>
          <w:b/>
          <w:i/>
          <w:color w:val="000000"/>
          <w:sz w:val="20"/>
          <w:u w:val="single"/>
        </w:rPr>
        <w:t>Canada V6C 1E5</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(North American Mailing Address)</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w:t>
      </w:r>
    </w:p>
    <w:p>
      <w:pPr>
        <w:pStyle w:val="TextBody"/>
        <w:bidi w:val="0"/>
        <w:spacing w:lineRule="auto" w:line="288" w:before="0" w:after="400"/>
        <w:jc w:val="center"/>
        <w:rPr>
          <w:rFonts w:ascii="Times New Roman;serif" w:hAnsi="Times New Roman;serif"/>
          <w:b w:val="false"/>
          <w:color w:val="000000"/>
          <w:sz w:val="20"/>
        </w:rPr>
      </w:pPr>
      <w:r>
        <w:rPr>
          <w:rFonts w:ascii="Times New Roman;serif" w:hAnsi="Times New Roman;serif"/>
          <w:b w:val="false"/>
          <w:color w:val="000000"/>
          <w:sz w:val="20"/>
        </w:rPr>
        <w:t>Form 20-F [X]           Form 40-F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4"/>
        </w:rPr>
      </w:pPr>
      <w:r>
        <w:rPr>
          <w:rFonts w:ascii="Times New Roman;serif" w:hAnsi="Times New Roman;serif"/>
          <w:b/>
          <w:color w:val="000000"/>
          <w:sz w:val="24"/>
        </w:rPr>
        <w:t>INCORPORATION BY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Exhibits 99.1, 99.2, 99.6, 99.7, 99.8 and 99.9 to this Form 6-K of Lithium Argentina AG (the "Company") are hereby incorporated by reference as exhibits to the Registration Statements (File No. 333-238142, File No. 333-227816, and File No. 333-282163) on Form S-8 of the Company, as amended or supplemented.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3374" w:type="dxa"/>
        <w:jc w:val="left"/>
        <w:tblInd w:w="0" w:type="dxa"/>
        <w:tblLayout w:type="fixed"/>
        <w:tblCellMar>
          <w:top w:w="28" w:type="dxa"/>
          <w:left w:w="28" w:type="dxa"/>
          <w:bottom w:w="28" w:type="dxa"/>
          <w:right w:w="28" w:type="dxa"/>
        </w:tblCellMar>
      </w:tblPr>
      <w:tblGrid>
        <w:gridCol w:w="124"/>
        <w:gridCol w:w="109"/>
        <w:gridCol w:w="109"/>
        <w:gridCol w:w="321"/>
        <w:gridCol w:w="321"/>
        <w:gridCol w:w="321"/>
        <w:gridCol w:w="600"/>
        <w:gridCol w:w="600"/>
        <w:gridCol w:w="8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Lithium Argentina AG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i/>
                <w:color w:val="000000"/>
                <w:sz w:val="20"/>
              </w:rPr>
              <w:t>Samuel Pigott”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Samuel Pigott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Dated: August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INDEX</w:t>
      </w:r>
    </w:p>
    <w:tbl>
      <w:tblPr>
        <w:tblW w:w="8550" w:type="dxa"/>
        <w:jc w:val="left"/>
        <w:tblInd w:w="0" w:type="dxa"/>
        <w:tblLayout w:type="fixed"/>
        <w:tblCellMar>
          <w:top w:w="28" w:type="dxa"/>
          <w:left w:w="28" w:type="dxa"/>
          <w:bottom w:w="28" w:type="dxa"/>
          <w:right w:w="28" w:type="dxa"/>
        </w:tblCellMar>
      </w:tblPr>
      <w:tblGrid>
        <w:gridCol w:w="272"/>
        <w:gridCol w:w="239"/>
        <w:gridCol w:w="240"/>
        <w:gridCol w:w="2278"/>
        <w:gridCol w:w="2278"/>
        <w:gridCol w:w="3243"/>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3243"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991fs.htm">
              <w:r>
                <w:rPr>
                  <w:rStyle w:val="InternetLink"/>
                  <w:rFonts w:ascii="Times New Roman;serif" w:hAnsi="Times New Roman;serif"/>
                  <w:b w:val="false"/>
                  <w:color w:val="000080"/>
                  <w:sz w:val="20"/>
                  <w:u w:val="single"/>
                </w:rPr>
                <w:t xml:space="preserve">Condensed Consolidated Interim Financial Statements for the </w:t>
              </w:r>
            </w:hyperlink>
            <w:hyperlink w:anchor="lar-20260630xex991fs.htm">
              <w:r>
                <w:rPr>
                  <w:rStyle w:val="InternetLink"/>
                  <w:rFonts w:ascii="Times New Roman;serif" w:hAnsi="Times New Roman;serif"/>
                  <w:b w:val="false"/>
                  <w:color w:val="000080"/>
                  <w:sz w:val="20"/>
                  <w:u w:val="single"/>
                </w:rPr>
                <w:t>six</w:t>
              </w:r>
            </w:hyperlink>
            <w:hyperlink w:anchor="lar-20260630xex991fs.htm">
              <w:r>
                <w:rPr>
                  <w:rStyle w:val="InternetLink"/>
                  <w:rFonts w:ascii="Times New Roman;serif" w:hAnsi="Times New Roman;serif"/>
                  <w:b w:val="false"/>
                  <w:color w:val="000080"/>
                  <w:sz w:val="20"/>
                  <w:u w:val="single"/>
                </w:rPr>
                <w:t xml:space="preserve"> months ended </w:t>
              </w:r>
            </w:hyperlink>
            <w:hyperlink w:anchor="lar-20260630xex991fs.htm">
              <w:r>
                <w:rPr>
                  <w:rStyle w:val="InternetLink"/>
                  <w:rFonts w:ascii="Times New Roman;serif" w:hAnsi="Times New Roman;serif"/>
                  <w:b w:val="false"/>
                  <w:color w:val="000080"/>
                  <w:sz w:val="20"/>
                  <w:u w:val="single"/>
                </w:rPr>
                <w:t>June 30</w:t>
              </w:r>
            </w:hyperlink>
            <w:hyperlink w:anchor="lar-20260630xex991fs.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2mda.htm">
              <w:r>
                <w:rPr>
                  <w:rStyle w:val="InternetLink"/>
                  <w:rFonts w:ascii="Times New Roman;serif" w:hAnsi="Times New Roman;serif"/>
                  <w:b w:val="false"/>
                  <w:color w:val="000080"/>
                  <w:sz w:val="20"/>
                  <w:u w:val="single"/>
                </w:rPr>
                <w:t xml:space="preserve">Management’s Discussion and Analysis for the </w:t>
              </w:r>
            </w:hyperlink>
            <w:hyperlink w:anchor="lar-20260630xexx992mda.htm">
              <w:r>
                <w:rPr>
                  <w:rStyle w:val="InternetLink"/>
                  <w:rFonts w:ascii="Times New Roman;serif" w:hAnsi="Times New Roman;serif"/>
                  <w:b w:val="false"/>
                  <w:color w:val="000080"/>
                  <w:sz w:val="20"/>
                  <w:u w:val="single"/>
                </w:rPr>
                <w:t>six</w:t>
              </w:r>
            </w:hyperlink>
            <w:hyperlink w:anchor="lar-20260630xexx992mda.htm">
              <w:r>
                <w:rPr>
                  <w:rStyle w:val="InternetLink"/>
                  <w:rFonts w:ascii="Times New Roman;serif" w:hAnsi="Times New Roman;serif"/>
                  <w:b w:val="false"/>
                  <w:color w:val="000080"/>
                  <w:sz w:val="20"/>
                  <w:u w:val="single"/>
                </w:rPr>
                <w:t xml:space="preserve"> months ended </w:t>
              </w:r>
            </w:hyperlink>
            <w:hyperlink w:anchor="lar-20260630xexx992mda.htm">
              <w:r>
                <w:rPr>
                  <w:rStyle w:val="InternetLink"/>
                  <w:rFonts w:ascii="Times New Roman;serif" w:hAnsi="Times New Roman;serif"/>
                  <w:b w:val="false"/>
                  <w:color w:val="000080"/>
                  <w:sz w:val="20"/>
                  <w:u w:val="single"/>
                </w:rPr>
                <w:t>June 30</w:t>
              </w:r>
            </w:hyperlink>
            <w:hyperlink w:anchor="lar-20260630xexx992mda.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3.htm">
              <w:r>
                <w:rPr>
                  <w:rStyle w:val="InternetLink"/>
                  <w:rFonts w:ascii="Times New Roman;serif" w:hAnsi="Times New Roman;serif"/>
                  <w:b w:val="false"/>
                  <w:color w:val="0000FF"/>
                  <w:sz w:val="20"/>
                  <w:u w:val="single"/>
                </w:rPr>
                <w:t>CEO Certification</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4.htm">
              <w:r>
                <w:rPr>
                  <w:rStyle w:val="InternetLink"/>
                  <w:rFonts w:ascii="Times New Roman;serif" w:hAnsi="Times New Roman;serif"/>
                  <w:b w:val="false"/>
                  <w:color w:val="0000FF"/>
                  <w:sz w:val="20"/>
                  <w:u w:val="single"/>
                </w:rPr>
                <w:t>CFO Certification</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99.5</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5nr.htm">
              <w:r>
                <w:rPr>
                  <w:rStyle w:val="InternetLink"/>
                  <w:rFonts w:ascii="Times New Roman;serif" w:hAnsi="Times New Roman;serif"/>
                  <w:b w:val="false"/>
                  <w:color w:val="000080"/>
                  <w:sz w:val="20"/>
                  <w:u w:val="single"/>
                </w:rPr>
                <w:t xml:space="preserve">News Release dated </w:t>
              </w:r>
            </w:hyperlink>
            <w:hyperlink w:anchor="lar-20260630xexx995nr.htm">
              <w:r>
                <w:rPr>
                  <w:rStyle w:val="InternetLink"/>
                  <w:rFonts w:ascii="Times New Roman;serif" w:hAnsi="Times New Roman;serif"/>
                  <w:b w:val="false"/>
                  <w:color w:val="000080"/>
                  <w:sz w:val="20"/>
                  <w:u w:val="single"/>
                </w:rPr>
                <w:t>August 11</w:t>
              </w:r>
            </w:hyperlink>
            <w:hyperlink w:anchor="lar-20260630xexx995nr.htm">
              <w:r>
                <w:rPr>
                  <w:rStyle w:val="InternetLink"/>
                  <w:rFonts w:ascii="Times New Roman;serif" w:hAnsi="Times New Roman;serif"/>
                  <w:b w:val="false"/>
                  <w:color w:val="000080"/>
                  <w:sz w:val="20"/>
                  <w:u w:val="single"/>
                </w:rPr>
                <w:t>, 2026</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99.6</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6.htm">
              <w:r>
                <w:rPr>
                  <w:rStyle w:val="InternetLink"/>
                  <w:rFonts w:ascii="Times New Roman;serif" w:hAnsi="Times New Roman;serif"/>
                  <w:b w:val="false"/>
                  <w:color w:val="0000FF"/>
                  <w:sz w:val="20"/>
                  <w:u w:val="single"/>
                </w:rPr>
                <w:t>Consent of David Burga</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99.7</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7.htm">
              <w:r>
                <w:rPr>
                  <w:rStyle w:val="InternetLink"/>
                  <w:rFonts w:ascii="Times New Roman;serif" w:hAnsi="Times New Roman;serif"/>
                  <w:b w:val="false"/>
                  <w:color w:val="0000FF"/>
                  <w:sz w:val="20"/>
                  <w:u w:val="single"/>
                </w:rPr>
                <w:t>Consent of James Wang</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99.8</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8.htm">
              <w:r>
                <w:rPr>
                  <w:rStyle w:val="InternetLink"/>
                  <w:rFonts w:ascii="Times New Roman;serif" w:hAnsi="Times New Roman;serif"/>
                  <w:b w:val="false"/>
                  <w:color w:val="0000FF"/>
                  <w:sz w:val="20"/>
                  <w:u w:val="single"/>
                </w:rPr>
                <w:t>Consent of Frederik Reidel</w:t>
              </w:r>
            </w:hyperlink>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99.9</w:t>
            </w:r>
          </w:p>
        </w:tc>
        <w:tc>
          <w:tcPr>
            <w:tcW w:w="7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ar-20260630xexx999.htm">
              <w:r>
                <w:rPr>
                  <w:rStyle w:val="InternetLink"/>
                  <w:rFonts w:ascii="Times New Roman;serif" w:hAnsi="Times New Roman;serif"/>
                  <w:b w:val="false"/>
                  <w:color w:val="0000FF"/>
                  <w:sz w:val="20"/>
                  <w:u w:val="single"/>
                </w:rPr>
                <w:t>Consent of Dr. Mark King</w:t>
              </w:r>
            </w:hyperlink>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3000"/>
        <w:jc w:val="right"/>
        <w:rPr/>
      </w:pPr>
      <w:r>
        <w:rPr/>
      </w:r>
    </w:p>
    <w:tbl>
      <w:tblPr>
        <w:tblW w:w="7905" w:type="dxa"/>
        <w:jc w:val="center"/>
        <w:tblInd w:w="0" w:type="dxa"/>
        <w:tblLayout w:type="fixed"/>
        <w:tblCellMar>
          <w:top w:w="28" w:type="dxa"/>
          <w:left w:w="28" w:type="dxa"/>
          <w:bottom w:w="28" w:type="dxa"/>
          <w:right w:w="28" w:type="dxa"/>
        </w:tblCellMar>
      </w:tblPr>
      <w:tblGrid>
        <w:gridCol w:w="2532"/>
        <w:gridCol w:w="2225"/>
        <w:gridCol w:w="3148"/>
      </w:tblGrid>
      <w:tr>
        <w:trPr/>
        <w:tc>
          <w:tcPr>
            <w:tcW w:w="253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3148" w:type="dxa"/>
            <w:tcBorders/>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4314825" cy="7905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4314825" cy="790575"/>
                          </a:xfrm>
                          <a:prstGeom prst="rect">
                            <a:avLst/>
                          </a:prstGeom>
                        </pic:spPr>
                      </pic:pic>
                    </a:graphicData>
                  </a:graphic>
                </wp:inline>
              </w:drawing>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CONDENSED CONSOLIDATED INTERIM FINANCIAL STATEMENTS</w:t>
            </w:r>
          </w:p>
          <w:p>
            <w:pPr>
              <w:pStyle w:val="TableContents"/>
              <w:bidi w:val="0"/>
              <w:spacing w:lineRule="auto" w:line="288" w:before="0" w:after="0"/>
              <w:jc w:val="left"/>
              <w:rPr>
                <w:rFonts w:ascii="Arial;sans-serif" w:hAnsi="Arial;sans-serif"/>
                <w:b/>
                <w:color w:val="000000"/>
                <w:sz w:val="24"/>
              </w:rPr>
            </w:pPr>
            <w:r>
              <w:rPr>
                <w:rFonts w:ascii="Arial;sans-serif" w:hAnsi="Arial;sans-serif"/>
                <w:b/>
                <w:color w:val="000000"/>
                <w:sz w:val="24"/>
              </w:rPr>
              <w:t>FOR THE THREE AND SIX MONTHS ENDED JUNE 30, 2026</w:t>
            </w:r>
          </w:p>
        </w:tc>
      </w:tr>
      <w:tr>
        <w:trPr/>
        <w:tc>
          <w:tcPr>
            <w:tcW w:w="7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53A57"/>
                <w:sz w:val="24"/>
              </w:rPr>
            </w:pPr>
            <w:r>
              <w:rPr>
                <w:rFonts w:ascii="Arial;sans-serif" w:hAnsi="Arial;sans-serif"/>
                <w:b/>
                <w:color w:val="153A57"/>
                <w:sz w:val="24"/>
              </w:rPr>
              <w:t>(EXPRESSED IN US DOLLARS)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LITHIUM ARGENTINA AG</w: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CONSOLIDATED STATEMENTS OF FINANCIAL POSITION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(Expressed in thousands of US dollars)</w:t>
      </w:r>
    </w:p>
    <w:tbl>
      <w:tblPr>
        <w:tblW w:w="10064" w:type="dxa"/>
        <w:jc w:val="left"/>
        <w:tblInd w:w="0" w:type="dxa"/>
        <w:tblLayout w:type="fixed"/>
        <w:tblCellMar>
          <w:top w:w="28" w:type="dxa"/>
          <w:left w:w="28" w:type="dxa"/>
          <w:bottom w:w="28" w:type="dxa"/>
          <w:right w:w="28" w:type="dxa"/>
        </w:tblCellMar>
      </w:tblPr>
      <w:tblGrid>
        <w:gridCol w:w="2452"/>
        <w:gridCol w:w="2152"/>
        <w:gridCol w:w="2160"/>
        <w:gridCol w:w="170"/>
        <w:gridCol w:w="170"/>
        <w:gridCol w:w="171"/>
        <w:gridCol w:w="486"/>
        <w:gridCol w:w="490"/>
        <w:gridCol w:w="276"/>
        <w:gridCol w:w="532"/>
        <w:gridCol w:w="444"/>
        <w:gridCol w:w="561"/>
      </w:tblGrid>
      <w:tr>
        <w:trPr/>
        <w:tc>
          <w:tcPr>
            <w:tcW w:w="2452"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18" w:space="0" w:color="153A57"/>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June 30,</w:t>
              <w:br/>
              <w:t>2026</w:t>
            </w:r>
          </w:p>
        </w:tc>
        <w:tc>
          <w:tcPr>
            <w:tcW w:w="1537"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December 31,</w:t>
              <w:br/>
              <w:t>2025</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Note</w:t>
            </w:r>
          </w:p>
        </w:tc>
        <w:tc>
          <w:tcPr>
            <w:tcW w:w="1252"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53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67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ASSETS</w:t>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99,716 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61,134 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Receivables from purchasers for lithium carbonate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46,109 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23,209 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receivables, prepaids and deposits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2,034 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147,859 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84,712 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NON-CURRENT ASSETS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Sal de la Puna Project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183,396 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183,370 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Exar Capital</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334,936 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308,333 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Minera Exar</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71,537 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Cauchari-Olaroz Project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127,675 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93,352 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Long-term receivable from JEMSE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8,468 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8,077 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and evaluation assets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341,020 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341,014 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 asset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1,004,643 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1,015,068 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ASSETS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1,152,502 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1,099,780 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CURRENT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6,658 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5,942 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Payable to Minera Exar for lithium carbonate purchases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54,171 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25,507 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PGCo Shareholder liabilities - Ganfeng</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12,859 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Convertible notes interest and other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2,353 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2,486 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Equity-settleable convertible notes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248,656 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234,161 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311,838 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280,955 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NON-CURRENT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income tax liability</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1,091 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1,091 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1,892 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312,929 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282,847 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EQUITY</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capital</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1,641 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1,624 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 reserve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1,525,120 </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1,514,732 </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(3,487)</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(3,487)</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Deficit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(734,759)</w:t>
            </w:r>
          </w:p>
        </w:tc>
        <w:tc>
          <w:tcPr>
            <w:tcW w:w="2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(744,989)</w:t>
            </w:r>
          </w:p>
        </w:tc>
        <w:tc>
          <w:tcPr>
            <w:tcW w:w="5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EQUITY ATTRIBUTABLE TO LITHIUM ARGENTINA'S SHAREHOLDERS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788,515 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767,880 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51,058 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49,053 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EQUITY</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839,573 </w:t>
            </w:r>
          </w:p>
        </w:tc>
        <w:tc>
          <w:tcPr>
            <w:tcW w:w="2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816,933 </w:t>
            </w:r>
          </w:p>
        </w:tc>
        <w:tc>
          <w:tcPr>
            <w:tcW w:w="5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LIABILITIES AND EQUITY</w:t>
            </w:r>
          </w:p>
        </w:tc>
        <w:tc>
          <w:tcPr>
            <w:tcW w:w="5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1,152,502 </w:t>
            </w:r>
          </w:p>
        </w:tc>
        <w:tc>
          <w:tcPr>
            <w:tcW w:w="27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1,099,780 </w:t>
            </w:r>
          </w:p>
        </w:tc>
        <w:tc>
          <w:tcPr>
            <w:tcW w:w="56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jc w:val="both"/>
        <w:rPr>
          <w:rFonts w:ascii="Arial;sans-serif" w:hAnsi="Arial;sans-serif"/>
          <w:b w:val="false"/>
          <w:color w:val="000000"/>
          <w:sz w:val="17"/>
          <w:u w:val="single"/>
        </w:rPr>
      </w:pPr>
      <w:r>
        <w:rPr>
          <w:rFonts w:ascii="Arial;sans-serif" w:hAnsi="Arial;sans-serif"/>
          <w:b w:val="false"/>
          <w:color w:val="000000"/>
          <w:sz w:val="17"/>
          <w:u w:val="single"/>
        </w:rPr>
        <w:t>Nature of Operations and Going Concern (Note 1)</w:t>
      </w:r>
    </w:p>
    <w:p>
      <w:pPr>
        <w:pStyle w:val="TextBody"/>
        <w:bidi w:val="0"/>
        <w:spacing w:lineRule="auto" w:line="288" w:before="0" w:after="200"/>
        <w:jc w:val="both"/>
        <w:rPr>
          <w:rFonts w:ascii="Arial;sans-serif" w:hAnsi="Arial;sans-serif"/>
          <w:b w:val="false"/>
          <w:color w:val="000000"/>
          <w:sz w:val="17"/>
          <w:u w:val="single"/>
        </w:rPr>
      </w:pPr>
      <w:r>
        <w:rPr>
          <w:rFonts w:ascii="Arial;sans-serif" w:hAnsi="Arial;sans-serif"/>
          <w:b w:val="false"/>
          <w:color w:val="000000"/>
          <w:sz w:val="17"/>
          <w:u w:val="single"/>
        </w:rPr>
        <w:t>Approved for issuance on August 10, 2026</w:t>
      </w:r>
    </w:p>
    <w:p>
      <w:pPr>
        <w:pStyle w:val="TextBody"/>
        <w:bidi w:val="0"/>
        <w:spacing w:lineRule="auto" w:line="288" w:before="0" w:after="80"/>
        <w:jc w:val="left"/>
        <w:rPr>
          <w:rFonts w:ascii="Arial;sans-serif" w:hAnsi="Arial;sans-serif"/>
          <w:b/>
          <w:color w:val="000000"/>
          <w:sz w:val="17"/>
        </w:rPr>
      </w:pPr>
      <w:r>
        <w:rPr>
          <w:rFonts w:ascii="Arial;sans-serif" w:hAnsi="Arial;sans-serif"/>
          <w:b/>
          <w:color w:val="000000"/>
          <w:sz w:val="17"/>
        </w:rPr>
        <w:t>On behalf of the Board of Directors:</w:t>
      </w:r>
    </w:p>
    <w:tbl>
      <w:tblPr>
        <w:tblW w:w="2655" w:type="dxa"/>
        <w:jc w:val="center"/>
        <w:tblInd w:w="0" w:type="dxa"/>
        <w:tblLayout w:type="fixed"/>
        <w:tblCellMar>
          <w:top w:w="28" w:type="dxa"/>
          <w:left w:w="28" w:type="dxa"/>
          <w:bottom w:w="28" w:type="dxa"/>
          <w:right w:w="28" w:type="dxa"/>
        </w:tblCellMar>
      </w:tblPr>
      <w:tblGrid>
        <w:gridCol w:w="450"/>
        <w:gridCol w:w="397"/>
        <w:gridCol w:w="398"/>
        <w:gridCol w:w="412"/>
        <w:gridCol w:w="412"/>
        <w:gridCol w:w="586"/>
      </w:tblGrid>
      <w:tr>
        <w:trPr/>
        <w:tc>
          <w:tcPr>
            <w:tcW w:w="45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i/>
                <w:color w:val="000000"/>
                <w:sz w:val="16"/>
              </w:rPr>
              <w:t>Robert Doyle”</w:t>
              <w:br/>
              <w:t>Director</w:t>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Arial;sans-serif" w:hAnsi="Arial;sans-serif"/>
                <w:b w:val="false"/>
                <w:i/>
                <w:color w:val="000000"/>
                <w:sz w:val="16"/>
              </w:rPr>
              <w:t>George Ireland”</w:t>
              <w:br/>
              <w:t>Director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03910"/>
                <wp:effectExtent l="0" t="0" r="0" b="0"/>
                <wp:wrapNone/>
                <wp:docPr id="7" name="Frame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LITHIUM ARGENTINA AG</w: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CONSOLIDATED STATEMENTS OF COMPREHENSIVE INCOME/(LOSS)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(Expressed in thousands of US dollars, except for per share amounts; shares in thousands)</w:t>
      </w:r>
    </w:p>
    <w:tbl>
      <w:tblPr>
        <w:tblW w:w="10205" w:type="dxa"/>
        <w:jc w:val="left"/>
        <w:tblInd w:w="0" w:type="dxa"/>
        <w:tblLayout w:type="fixed"/>
        <w:tblCellMar>
          <w:top w:w="28" w:type="dxa"/>
          <w:left w:w="28" w:type="dxa"/>
          <w:bottom w:w="28" w:type="dxa"/>
          <w:right w:w="28" w:type="dxa"/>
        </w:tblCellMar>
      </w:tblPr>
      <w:tblGrid>
        <w:gridCol w:w="1703"/>
        <w:gridCol w:w="1467"/>
        <w:gridCol w:w="1480"/>
        <w:gridCol w:w="170"/>
        <w:gridCol w:w="170"/>
        <w:gridCol w:w="171"/>
        <w:gridCol w:w="435"/>
        <w:gridCol w:w="425"/>
        <w:gridCol w:w="415"/>
        <w:gridCol w:w="435"/>
        <w:gridCol w:w="426"/>
        <w:gridCol w:w="429"/>
        <w:gridCol w:w="396"/>
        <w:gridCol w:w="395"/>
        <w:gridCol w:w="362"/>
        <w:gridCol w:w="396"/>
        <w:gridCol w:w="395"/>
        <w:gridCol w:w="535"/>
      </w:tblGrid>
      <w:tr>
        <w:trPr/>
        <w:tc>
          <w:tcPr>
            <w:tcW w:w="1703"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79"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Note</w:t>
            </w:r>
          </w:p>
        </w:tc>
        <w:tc>
          <w:tcPr>
            <w:tcW w:w="127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2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153"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29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53"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46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EXPENSES</w:t>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and evaluation expenditures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(2,198)</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(1,854)</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(4,009)</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(4,767)</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(4,231)</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(9,779)</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(8,031)</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based compensation</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(4,094)</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(4,051)</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(9,180)</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(8,587)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income/(loss) of Cauchari-Olaroz Project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12,255 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34,323 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(923)</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loss of Sal de la Puna Project</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(114)</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2,304 </w:t>
            </w:r>
          </w:p>
        </w:tc>
        <w:tc>
          <w:tcPr>
            <w:tcW w:w="41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(10,969)</w:t>
            </w:r>
          </w:p>
        </w:tc>
        <w:tc>
          <w:tcPr>
            <w:tcW w:w="42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13,302 </w:t>
            </w:r>
          </w:p>
        </w:tc>
        <w:tc>
          <w:tcPr>
            <w:tcW w:w="362"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(21,664)</w:t>
            </w:r>
          </w:p>
        </w:tc>
        <w:tc>
          <w:tcPr>
            <w:tcW w:w="53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OTHER ITEMS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(883)</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(1,495)</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(2,316)</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Gain/(loss) on financial instruments measured at fair value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(1,814)</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536 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Finance and other costs</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17</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(7,556)</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(7,401)</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(17,761)</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(13,985)</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exchange (loss)/gain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Finance and other income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18</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7,381 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14,478 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15,975 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28,179 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(1,026)</w:t>
            </w:r>
          </w:p>
        </w:tc>
        <w:tc>
          <w:tcPr>
            <w:tcW w:w="41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6,869 </w:t>
            </w:r>
          </w:p>
        </w:tc>
        <w:tc>
          <w:tcPr>
            <w:tcW w:w="42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(4,978)</w:t>
            </w:r>
          </w:p>
        </w:tc>
        <w:tc>
          <w:tcPr>
            <w:tcW w:w="362"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12,221 </w:t>
            </w:r>
          </w:p>
        </w:tc>
        <w:tc>
          <w:tcPr>
            <w:tcW w:w="53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INCOME/(LOSS) BEFORE TAXES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41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42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8,324 </w:t>
            </w:r>
          </w:p>
        </w:tc>
        <w:tc>
          <w:tcPr>
            <w:tcW w:w="362"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(9,443)</w:t>
            </w:r>
          </w:p>
        </w:tc>
        <w:tc>
          <w:tcPr>
            <w:tcW w:w="53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Income tax expense:</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tax recovery/(expense)</w:t>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20</w:t>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(1,827)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INCOME/(LOSS)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41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42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8,755 </w:t>
            </w:r>
          </w:p>
        </w:tc>
        <w:tc>
          <w:tcPr>
            <w:tcW w:w="362"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(11,270)</w:t>
            </w:r>
          </w:p>
        </w:tc>
        <w:tc>
          <w:tcPr>
            <w:tcW w:w="53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ATTRIBUTABLE TO:</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Equity holders of Lithium Argentina</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(4,089)</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10,230 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(11,303)</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Non-controlling interest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(1,475)</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COMPREHENSIVE INCOME/(LOSS)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8,755 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(11,270)</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BASIC AND DILUTED INCOME/(LOSS) PER SHARE</w:t>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Income/(loss) per share - basic</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Income/(loss) per share - diluted</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1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4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362"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5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w:t>
              <w:br/>
              <w:t>outstanding - basic</w:t>
            </w:r>
          </w:p>
        </w:tc>
        <w:tc>
          <w:tcPr>
            <w:tcW w:w="5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163,901</w:t>
            </w:r>
          </w:p>
        </w:tc>
        <w:tc>
          <w:tcPr>
            <w:tcW w:w="12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161,999</w:t>
            </w:r>
          </w:p>
        </w:tc>
        <w:tc>
          <w:tcPr>
            <w:tcW w:w="1153"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163,617</w:t>
            </w:r>
          </w:p>
        </w:tc>
        <w:tc>
          <w:tcPr>
            <w:tcW w:w="132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161,971</w:t>
            </w:r>
          </w:p>
        </w:tc>
      </w:tr>
      <w:tr>
        <w:trPr/>
        <w:tc>
          <w:tcPr>
            <w:tcW w:w="465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Weighted average number of common shares</w:t>
              <w:br/>
              <w:t>outstanding - diluted</w:t>
            </w:r>
          </w:p>
        </w:tc>
        <w:tc>
          <w:tcPr>
            <w:tcW w:w="51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173,671</w:t>
            </w:r>
          </w:p>
        </w:tc>
        <w:tc>
          <w:tcPr>
            <w:tcW w:w="129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161,999</w:t>
            </w:r>
          </w:p>
        </w:tc>
        <w:tc>
          <w:tcPr>
            <w:tcW w:w="1153"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173,387</w:t>
            </w:r>
          </w:p>
        </w:tc>
        <w:tc>
          <w:tcPr>
            <w:tcW w:w="132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161,971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03910"/>
                <wp:effectExtent l="0" t="0" r="0" b="0"/>
                <wp:wrapNone/>
                <wp:docPr id="10" name="Frame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descr=""/>
                                                <pic:cNvPicPr>
                                                  <a:picLocks noChangeAspect="1" noChangeArrowheads="1"/>
                                                </pic:cNvPicPr>
                                              </pic:nvPicPr>
                                              <pic:blipFill>
                                                <a:blip r:embed="rId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descr=""/>
                                          <pic:cNvPicPr>
                                            <a:picLocks noChangeAspect="1" noChangeArrowheads="1"/>
                                          </pic:cNvPicPr>
                                        </pic:nvPicPr>
                                        <pic:blipFill>
                                          <a:blip r:embed="rId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LITHIUM ARGENTINA AG</w: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CONSOLIDATED STATEMENTS OF CHANGES IN EQUITY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(Expressed in thousands of US dollars, shares in thousands)</w:t>
      </w:r>
    </w:p>
    <w:tbl>
      <w:tblPr>
        <w:tblW w:w="10205" w:type="dxa"/>
        <w:jc w:val="left"/>
        <w:tblInd w:w="0" w:type="dxa"/>
        <w:tblLayout w:type="fixed"/>
        <w:tblCellMar>
          <w:top w:w="28" w:type="dxa"/>
          <w:left w:w="28" w:type="dxa"/>
          <w:bottom w:w="28" w:type="dxa"/>
          <w:right w:w="28" w:type="dxa"/>
        </w:tblCellMar>
      </w:tblPr>
      <w:tblGrid>
        <w:gridCol w:w="1088"/>
        <w:gridCol w:w="892"/>
        <w:gridCol w:w="900"/>
        <w:gridCol w:w="195"/>
        <w:gridCol w:w="195"/>
        <w:gridCol w:w="197"/>
        <w:gridCol w:w="203"/>
        <w:gridCol w:w="203"/>
        <w:gridCol w:w="191"/>
        <w:gridCol w:w="308"/>
        <w:gridCol w:w="308"/>
        <w:gridCol w:w="181"/>
        <w:gridCol w:w="566"/>
        <w:gridCol w:w="566"/>
        <w:gridCol w:w="567"/>
        <w:gridCol w:w="282"/>
        <w:gridCol w:w="283"/>
        <w:gridCol w:w="156"/>
        <w:gridCol w:w="285"/>
        <w:gridCol w:w="285"/>
        <w:gridCol w:w="286"/>
        <w:gridCol w:w="418"/>
        <w:gridCol w:w="418"/>
        <w:gridCol w:w="419"/>
        <w:gridCol w:w="263"/>
        <w:gridCol w:w="263"/>
        <w:gridCol w:w="287"/>
      </w:tblGrid>
      <w:tr>
        <w:trPr/>
        <w:tc>
          <w:tcPr>
            <w:tcW w:w="10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2"/>
              </w:rPr>
            </w:pPr>
            <w:r>
              <w:rPr>
                <w:rFonts w:ascii="Arial;sans-serif" w:hAnsi="Arial;sans-serif"/>
                <w:b/>
                <w:color w:val="000000"/>
                <w:sz w:val="12"/>
              </w:rPr>
              <w:t>Share capital</w:t>
            </w:r>
          </w:p>
        </w:tc>
        <w:tc>
          <w:tcPr>
            <w:tcW w:w="797"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Number</w:t>
              <w:br/>
              <w:t>of shares</w:t>
            </w:r>
          </w:p>
        </w:tc>
        <w:tc>
          <w:tcPr>
            <w:tcW w:w="5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Amount</w:t>
              <w:br/>
              <w:t>$</w:t>
            </w:r>
          </w:p>
        </w:tc>
        <w:tc>
          <w:tcPr>
            <w:tcW w:w="797"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Capital</w:t>
            </w:r>
          </w:p>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Reserve</w:t>
            </w:r>
          </w:p>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w:t>
            </w:r>
          </w:p>
        </w:tc>
        <w:tc>
          <w:tcPr>
            <w:tcW w:w="169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Accumulated other comprehensive loss</w:t>
              <w:br/>
              <w:t>$</w:t>
            </w:r>
          </w:p>
        </w:tc>
        <w:tc>
          <w:tcPr>
            <w:tcW w:w="72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Deficit</w:t>
              <w:br/>
              <w:t>$</w:t>
            </w:r>
          </w:p>
        </w:tc>
        <w:tc>
          <w:tcPr>
            <w:tcW w:w="856" w:type="dxa"/>
            <w:gridSpan w:val="3"/>
            <w:tcBorders/>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Shareholders’</w:t>
            </w:r>
          </w:p>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equity</w:t>
            </w:r>
          </w:p>
          <w:p>
            <w:pPr>
              <w:pStyle w:val="TableContents"/>
              <w:bidi w:val="0"/>
              <w:spacing w:lineRule="auto" w:line="273" w:before="0" w:after="0"/>
              <w:jc w:val="right"/>
              <w:rPr>
                <w:rFonts w:ascii="Arial;sans-serif" w:hAnsi="Arial;sans-serif"/>
                <w:b/>
                <w:color w:val="000000"/>
                <w:sz w:val="12"/>
              </w:rPr>
            </w:pPr>
            <w:r>
              <w:rPr>
                <w:rFonts w:ascii="Arial;sans-serif" w:hAnsi="Arial;sans-serif"/>
                <w:b/>
                <w:color w:val="000000"/>
                <w:sz w:val="12"/>
              </w:rPr>
              <w:t>$</w:t>
            </w:r>
          </w:p>
        </w:tc>
        <w:tc>
          <w:tcPr>
            <w:tcW w:w="12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Non-controlling interest</w:t>
              <w:br/>
              <w:t>$</w:t>
            </w:r>
          </w:p>
        </w:tc>
        <w:tc>
          <w:tcPr>
            <w:tcW w:w="81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2"/>
              </w:rPr>
            </w:pPr>
            <w:r>
              <w:rPr>
                <w:rFonts w:ascii="Arial;sans-serif" w:hAnsi="Arial;sans-serif"/>
                <w:b/>
                <w:color w:val="000000"/>
                <w:sz w:val="12"/>
              </w:rPr>
              <w:t>Total equity</w:t>
              <w:br/>
              <w:t>$</w:t>
            </w:r>
          </w:p>
        </w:tc>
      </w:tr>
      <w:tr>
        <w:trPr/>
        <w:tc>
          <w:tcPr>
            <w:tcW w:w="28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6" w:before="14" w:after="283"/>
              <w:jc w:val="left"/>
              <w:rPr>
                <w:rFonts w:ascii="Arial;sans-serif" w:hAnsi="Arial;sans-serif"/>
                <w:b w:val="false"/>
                <w:color w:val="000000"/>
                <w:sz w:val="12"/>
              </w:rPr>
            </w:pPr>
            <w:r>
              <w:rPr>
                <w:rFonts w:ascii="Arial;sans-serif" w:hAnsi="Arial;sans-serif"/>
                <w:b w:val="false"/>
                <w:color w:val="000000"/>
                <w:sz w:val="12"/>
              </w:rPr>
              <w:t>Authorized share capital:</w:t>
            </w:r>
          </w:p>
          <w:p>
            <w:pPr>
              <w:pStyle w:val="TableContents"/>
              <w:bidi w:val="0"/>
              <w:spacing w:lineRule="auto" w:line="276" w:before="14" w:after="283"/>
              <w:jc w:val="left"/>
              <w:rPr>
                <w:rFonts w:ascii="Arial;sans-serif" w:hAnsi="Arial;sans-serif"/>
                <w:b w:val="false"/>
                <w:color w:val="000000"/>
                <w:sz w:val="12"/>
              </w:rPr>
            </w:pPr>
            <w:r>
              <w:rPr>
                <w:rFonts w:ascii="Arial;sans-serif" w:hAnsi="Arial;sans-serif"/>
                <w:b w:val="false"/>
                <w:color w:val="000000"/>
                <w:sz w:val="12"/>
              </w:rPr>
              <w:t>Unlimited common shares without par value</w:t>
            </w:r>
          </w:p>
        </w:tc>
        <w:tc>
          <w:tcPr>
            <w:tcW w:w="5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Balance, December 31, 2024</w:t>
            </w:r>
          </w:p>
        </w:tc>
        <w:tc>
          <w:tcPr>
            <w:tcW w:w="5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161,932</w:t>
            </w:r>
          </w:p>
        </w:tc>
        <w:tc>
          <w:tcPr>
            <w:tcW w:w="40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1,619 </w:t>
            </w:r>
          </w:p>
        </w:tc>
        <w:tc>
          <w:tcPr>
            <w:tcW w:w="19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1,499,682 </w:t>
            </w:r>
          </w:p>
        </w:tc>
        <w:tc>
          <w:tcPr>
            <w:tcW w:w="18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(3,487)</w:t>
            </w:r>
          </w:p>
        </w:tc>
        <w:tc>
          <w:tcPr>
            <w:tcW w:w="56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(669,540)</w:t>
            </w:r>
          </w:p>
        </w:tc>
        <w:tc>
          <w:tcPr>
            <w:tcW w:w="1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828,274 </w:t>
            </w:r>
          </w:p>
        </w:tc>
        <w:tc>
          <w:tcPr>
            <w:tcW w:w="28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62,656 </w:t>
            </w:r>
          </w:p>
        </w:tc>
        <w:tc>
          <w:tcPr>
            <w:tcW w:w="41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890,930 </w:t>
            </w:r>
          </w:p>
        </w:tc>
        <w:tc>
          <w:tcPr>
            <w:tcW w:w="28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Shares issued on conversion of RSUs, DSUs, PSUs, and exercise of stock options</w:t>
            </w:r>
          </w:p>
        </w:tc>
        <w:tc>
          <w:tcPr>
            <w:tcW w:w="5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428</w:t>
            </w:r>
          </w:p>
        </w:tc>
        <w:tc>
          <w:tcPr>
            <w:tcW w:w="40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4 </w:t>
            </w:r>
          </w:p>
        </w:tc>
        <w:tc>
          <w:tcPr>
            <w:tcW w:w="19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w:t>
            </w:r>
          </w:p>
        </w:tc>
        <w:tc>
          <w:tcPr>
            <w:tcW w:w="18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0 </w:t>
            </w:r>
          </w:p>
        </w:tc>
        <w:tc>
          <w:tcPr>
            <w:tcW w:w="28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41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0 </w:t>
            </w:r>
          </w:p>
        </w:tc>
        <w:tc>
          <w:tcPr>
            <w:tcW w:w="28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Equity compensation</w:t>
            </w:r>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8,587 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8,587 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8,587 </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(loss)/income</w:t>
            </w:r>
          </w:p>
        </w:tc>
        <w:tc>
          <w:tcPr>
            <w:tcW w:w="58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(11,303)</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(11,303)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33 </w:t>
            </w:r>
          </w:p>
        </w:tc>
        <w:tc>
          <w:tcPr>
            <w:tcW w:w="4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(11,270)</w:t>
            </w:r>
          </w:p>
        </w:tc>
        <w:tc>
          <w:tcPr>
            <w:tcW w:w="2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Balance June 30, 2025</w:t>
            </w:r>
          </w:p>
        </w:tc>
        <w:tc>
          <w:tcPr>
            <w:tcW w:w="5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162,360</w:t>
            </w:r>
          </w:p>
        </w:tc>
        <w:tc>
          <w:tcPr>
            <w:tcW w:w="40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1,623 </w:t>
            </w:r>
          </w:p>
        </w:tc>
        <w:tc>
          <w:tcPr>
            <w:tcW w:w="19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1,508,265 </w:t>
            </w:r>
          </w:p>
        </w:tc>
        <w:tc>
          <w:tcPr>
            <w:tcW w:w="18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(3,487)</w:t>
            </w:r>
          </w:p>
        </w:tc>
        <w:tc>
          <w:tcPr>
            <w:tcW w:w="56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(680,843)</w:t>
            </w:r>
          </w:p>
        </w:tc>
        <w:tc>
          <w:tcPr>
            <w:tcW w:w="1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825,558 </w:t>
            </w:r>
          </w:p>
        </w:tc>
        <w:tc>
          <w:tcPr>
            <w:tcW w:w="28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62,689 </w:t>
            </w:r>
          </w:p>
        </w:tc>
        <w:tc>
          <w:tcPr>
            <w:tcW w:w="41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888,247 </w:t>
            </w:r>
          </w:p>
        </w:tc>
        <w:tc>
          <w:tcPr>
            <w:tcW w:w="28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Balance December 31, 2025</w:t>
            </w:r>
          </w:p>
        </w:tc>
        <w:tc>
          <w:tcPr>
            <w:tcW w:w="58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162,407</w:t>
            </w:r>
          </w:p>
        </w:tc>
        <w:tc>
          <w:tcPr>
            <w:tcW w:w="40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1,624 </w:t>
            </w:r>
          </w:p>
        </w:tc>
        <w:tc>
          <w:tcPr>
            <w:tcW w:w="19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1,514,732 </w:t>
            </w:r>
          </w:p>
        </w:tc>
        <w:tc>
          <w:tcPr>
            <w:tcW w:w="18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(3,487)</w:t>
            </w:r>
          </w:p>
        </w:tc>
        <w:tc>
          <w:tcPr>
            <w:tcW w:w="56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(744,989)</w:t>
            </w:r>
          </w:p>
        </w:tc>
        <w:tc>
          <w:tcPr>
            <w:tcW w:w="1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767,880 </w:t>
            </w:r>
          </w:p>
        </w:tc>
        <w:tc>
          <w:tcPr>
            <w:tcW w:w="28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49,053 </w:t>
            </w:r>
          </w:p>
        </w:tc>
        <w:tc>
          <w:tcPr>
            <w:tcW w:w="41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816,933 </w:t>
            </w:r>
          </w:p>
        </w:tc>
        <w:tc>
          <w:tcPr>
            <w:tcW w:w="28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Shares issued on conversion of RSUs, DSUs, PSUs, and exercise of stock options</w:t>
            </w:r>
          </w:p>
        </w:tc>
        <w:tc>
          <w:tcPr>
            <w:tcW w:w="587"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1,717</w:t>
            </w:r>
          </w:p>
        </w:tc>
        <w:tc>
          <w:tcPr>
            <w:tcW w:w="40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17 </w:t>
            </w:r>
          </w:p>
        </w:tc>
        <w:tc>
          <w:tcPr>
            <w:tcW w:w="19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1,208 </w:t>
            </w:r>
          </w:p>
        </w:tc>
        <w:tc>
          <w:tcPr>
            <w:tcW w:w="18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5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1,225 </w:t>
            </w:r>
          </w:p>
        </w:tc>
        <w:tc>
          <w:tcPr>
            <w:tcW w:w="28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419"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1,225 </w:t>
            </w:r>
          </w:p>
        </w:tc>
        <w:tc>
          <w:tcPr>
            <w:tcW w:w="28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Share based compensation (Note 13)</w:t>
            </w:r>
          </w:p>
        </w:tc>
        <w:tc>
          <w:tcPr>
            <w:tcW w:w="58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9,180 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5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9,180 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4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9,180 </w:t>
            </w:r>
          </w:p>
        </w:tc>
        <w:tc>
          <w:tcPr>
            <w:tcW w:w="28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Amendment to PGCo Share Premium Reduction and Shareholder Distribution (Note 9)</w:t>
            </w:r>
          </w:p>
        </w:tc>
        <w:tc>
          <w:tcPr>
            <w:tcW w:w="58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59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79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1699"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721"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856"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83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3,480 </w:t>
            </w:r>
          </w:p>
        </w:tc>
        <w:tc>
          <w:tcPr>
            <w:tcW w:w="4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3,480 </w:t>
            </w:r>
          </w:p>
        </w:tc>
        <w:tc>
          <w:tcPr>
            <w:tcW w:w="28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Net income/(loss)</w:t>
            </w:r>
          </w:p>
        </w:tc>
        <w:tc>
          <w:tcPr>
            <w:tcW w:w="58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w:t>
            </w:r>
          </w:p>
        </w:tc>
        <w:tc>
          <w:tcPr>
            <w:tcW w:w="40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9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18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 </w:t>
            </w:r>
          </w:p>
        </w:tc>
        <w:tc>
          <w:tcPr>
            <w:tcW w:w="56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10,230 </w:t>
            </w:r>
          </w:p>
        </w:tc>
        <w:tc>
          <w:tcPr>
            <w:tcW w:w="15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10,230 </w:t>
            </w:r>
          </w:p>
        </w:tc>
        <w:tc>
          <w:tcPr>
            <w:tcW w:w="28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(1,475)</w:t>
            </w:r>
          </w:p>
        </w:tc>
        <w:tc>
          <w:tcPr>
            <w:tcW w:w="41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8,755 </w:t>
            </w:r>
          </w:p>
        </w:tc>
        <w:tc>
          <w:tcPr>
            <w:tcW w:w="28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2"/>
              </w:rPr>
            </w:pPr>
            <w:r>
              <w:rPr>
                <w:rFonts w:ascii="Arial;sans-serif" w:hAnsi="Arial;sans-serif"/>
                <w:b w:val="false"/>
                <w:color w:val="000000"/>
                <w:sz w:val="12"/>
              </w:rPr>
              <w:t>Balance June 30, 2026</w:t>
            </w:r>
          </w:p>
        </w:tc>
        <w:tc>
          <w:tcPr>
            <w:tcW w:w="587"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164,124</w:t>
            </w:r>
          </w:p>
        </w:tc>
        <w:tc>
          <w:tcPr>
            <w:tcW w:w="40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1,641 </w:t>
            </w:r>
          </w:p>
        </w:tc>
        <w:tc>
          <w:tcPr>
            <w:tcW w:w="19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1,525,120 </w:t>
            </w:r>
          </w:p>
        </w:tc>
        <w:tc>
          <w:tcPr>
            <w:tcW w:w="18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(3,487)</w:t>
            </w:r>
          </w:p>
        </w:tc>
        <w:tc>
          <w:tcPr>
            <w:tcW w:w="56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(734,759)</w:t>
            </w:r>
          </w:p>
        </w:tc>
        <w:tc>
          <w:tcPr>
            <w:tcW w:w="15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788,515 </w:t>
            </w:r>
          </w:p>
        </w:tc>
        <w:tc>
          <w:tcPr>
            <w:tcW w:w="28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51,058 </w:t>
            </w:r>
          </w:p>
        </w:tc>
        <w:tc>
          <w:tcPr>
            <w:tcW w:w="419"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2"/>
              </w:rPr>
            </w:pPr>
            <w:r>
              <w:rPr>
                <w:rFonts w:ascii="Arial;sans-serif" w:hAnsi="Arial;sans-serif"/>
                <w:b w:val="false"/>
                <w:color w:val="000000"/>
                <w:sz w:val="12"/>
              </w:rPr>
              <w:t>839,573 </w:t>
            </w:r>
          </w:p>
        </w:tc>
        <w:tc>
          <w:tcPr>
            <w:tcW w:w="28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03910"/>
                <wp:effectExtent l="0" t="0" r="0" b="0"/>
                <wp:wrapNone/>
                <wp:docPr id="13" name="Frame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descr=""/>
                                                <pic:cNvPicPr>
                                                  <a:picLocks noChangeAspect="1" noChangeArrowheads="1"/>
                                                </pic:cNvPicPr>
                                              </pic:nvPicPr>
                                              <pic:blipFill>
                                                <a:blip r:embed="rId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LITHIUM ARGENTINA AG</w:t>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CONSOLIDATED STATEMENTS OF CASH FLOWS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(Unaudited)</w:t>
      </w:r>
    </w:p>
    <w:p>
      <w:pPr>
        <w:pStyle w:val="TextBody"/>
        <w:bidi w:val="0"/>
        <w:spacing w:lineRule="auto" w:line="288" w:before="0" w:after="160"/>
        <w:jc w:val="both"/>
        <w:rPr>
          <w:rFonts w:ascii="Arial;sans-serif" w:hAnsi="Arial;sans-serif"/>
          <w:b w:val="false"/>
          <w:color w:val="000000"/>
          <w:sz w:val="20"/>
        </w:rPr>
      </w:pPr>
      <w:r>
        <w:rPr>
          <w:rFonts w:ascii="Arial;sans-serif" w:hAnsi="Arial;sans-serif"/>
          <w:b w:val="false"/>
          <w:color w:val="000000"/>
          <w:sz w:val="20"/>
        </w:rPr>
        <w:t>(Expressed in thousands of US dollars)</w:t>
      </w:r>
    </w:p>
    <w:tbl>
      <w:tblPr>
        <w:tblW w:w="10205" w:type="dxa"/>
        <w:jc w:val="left"/>
        <w:tblInd w:w="0" w:type="dxa"/>
        <w:tblLayout w:type="fixed"/>
        <w:tblCellMar>
          <w:top w:w="28" w:type="dxa"/>
          <w:left w:w="28" w:type="dxa"/>
          <w:bottom w:w="28" w:type="dxa"/>
          <w:right w:w="28" w:type="dxa"/>
        </w:tblCellMar>
      </w:tblPr>
      <w:tblGrid>
        <w:gridCol w:w="1819"/>
        <w:gridCol w:w="1595"/>
        <w:gridCol w:w="1601"/>
        <w:gridCol w:w="160"/>
        <w:gridCol w:w="160"/>
        <w:gridCol w:w="161"/>
        <w:gridCol w:w="407"/>
        <w:gridCol w:w="401"/>
        <w:gridCol w:w="397"/>
        <w:gridCol w:w="407"/>
        <w:gridCol w:w="401"/>
        <w:gridCol w:w="410"/>
        <w:gridCol w:w="359"/>
        <w:gridCol w:w="358"/>
        <w:gridCol w:w="348"/>
        <w:gridCol w:w="359"/>
        <w:gridCol w:w="358"/>
        <w:gridCol w:w="504"/>
      </w:tblGrid>
      <w:tr>
        <w:trPr/>
        <w:tc>
          <w:tcPr>
            <w:tcW w:w="1819"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501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2286"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Note</w:t>
            </w:r>
          </w:p>
        </w:tc>
        <w:tc>
          <w:tcPr>
            <w:tcW w:w="120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2026</w:t>
            </w:r>
          </w:p>
        </w:tc>
        <w:tc>
          <w:tcPr>
            <w:tcW w:w="121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2025</w:t>
            </w:r>
          </w:p>
        </w:tc>
        <w:tc>
          <w:tcPr>
            <w:tcW w:w="106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2026</w:t>
            </w:r>
          </w:p>
        </w:tc>
        <w:tc>
          <w:tcPr>
            <w:tcW w:w="12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2025</w:t>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w:t>
            </w:r>
          </w:p>
        </w:tc>
        <w:tc>
          <w:tcPr>
            <w:tcW w:w="121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w:t>
            </w:r>
          </w:p>
        </w:tc>
        <w:tc>
          <w:tcPr>
            <w:tcW w:w="106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w:t>
            </w:r>
          </w:p>
        </w:tc>
        <w:tc>
          <w:tcPr>
            <w:tcW w:w="122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w:t>
            </w:r>
          </w:p>
        </w:tc>
      </w:tr>
      <w:tr>
        <w:trPr/>
        <w:tc>
          <w:tcPr>
            <w:tcW w:w="50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OPERATING ACTIVITIES</w:t>
            </w:r>
          </w:p>
        </w:tc>
        <w:tc>
          <w:tcPr>
            <w:tcW w:w="48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Income/(loss)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1,278</w:t>
            </w:r>
            <w:r>
              <w:rPr>
                <w:color w:val="000000"/>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(4,100)</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16"/>
              </w:rPr>
              <w:t>8,755</w:t>
            </w:r>
            <w:r>
              <w:rPr>
                <w:color w:val="000000"/>
              </w:rPr>
              <w:t>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6"/>
              </w:rPr>
            </w:pPr>
            <w:r>
              <w:rPr>
                <w:rFonts w:ascii="Arial;sans-serif" w:hAnsi="Arial;sans-serif"/>
                <w:b/>
                <w:color w:val="000000"/>
                <w:sz w:val="16"/>
              </w:rPr>
              <w:t>(11,270)</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Items not affecting cash and other items: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 based compensation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4,094 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4,051 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9,180 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8,587 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 xml:space="preserve">Depreciation </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115 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108 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237 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Deferred tax (recovery)/expense</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(431)</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Foreign exchange loss/(gain)</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(117)</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193 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 of (gain)/loss of Cauchari-Olaroz Project</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6</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(12,255)</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(34,323)</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923 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Share of loss of Sal de la Puna Project</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114 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(Gain)/loss on financial instruments measured at fair value</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1,814 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(536)</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income</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(6,510)</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(13,714)</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(14,404)</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(26,685)</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Finance and other costs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7,096 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6,854 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17,301 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13,436 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Payment of interest on the convertible notes and debt facilities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(2,264)</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(2,264)</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Changes in non-cash working capital items: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Decrease/(increase) in receivables, prepaids and deposits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21,416 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(2,546)</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(24,565)</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(5,140)</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(Decrease)/increase in accounts payable and accrued liabilities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(20,004)</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3,337 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28,026 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used in operating activities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(4,711)</w:t>
            </w:r>
          </w:p>
        </w:tc>
        <w:tc>
          <w:tcPr>
            <w:tcW w:w="39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(5,538)</w:t>
            </w:r>
          </w:p>
        </w:tc>
        <w:tc>
          <w:tcPr>
            <w:tcW w:w="41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(10,583)</w:t>
            </w:r>
          </w:p>
        </w:tc>
        <w:tc>
          <w:tcPr>
            <w:tcW w:w="34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(20,580)</w:t>
            </w:r>
          </w:p>
        </w:tc>
        <w:tc>
          <w:tcPr>
            <w:tcW w:w="50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INVESTING ACTIVITIES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Acquisition of Exar Capital loans from Ganfeng</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(26,005)</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interest paid by Exar Capital</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6,468 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12,936 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3,920 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repayment of loans and interest by Minera Exar</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9</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72,015 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Contribution to Investment in Sal de la Puna Project</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5</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(136)</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(234)</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(253)</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Additions to exploration and evaluation assets</w:t>
            </w:r>
          </w:p>
        </w:tc>
        <w:tc>
          <w:tcPr>
            <w:tcW w:w="48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6"/>
              </w:rPr>
            </w:pPr>
            <w:r>
              <w:rPr>
                <w:rFonts w:ascii="Arial;sans-serif" w:hAnsi="Arial;sans-serif"/>
                <w:b w:val="false"/>
                <w:color w:val="000000"/>
                <w:sz w:val="16"/>
              </w:rPr>
              <w:t>11</w:t>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(200)</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(229)</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provided/(used) in investing activities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6,329 </w:t>
            </w:r>
          </w:p>
        </w:tc>
        <w:tc>
          <w:tcPr>
            <w:tcW w:w="39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(227)</w:t>
            </w:r>
          </w:p>
        </w:tc>
        <w:tc>
          <w:tcPr>
            <w:tcW w:w="41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58,706 </w:t>
            </w:r>
          </w:p>
        </w:tc>
        <w:tc>
          <w:tcPr>
            <w:tcW w:w="34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3,438 </w:t>
            </w:r>
          </w:p>
        </w:tc>
        <w:tc>
          <w:tcPr>
            <w:tcW w:w="50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FINANCING ACTIVITIES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Proceeds from equity awards exercises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802 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1,225 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Repayment of PGCo Shareholder liability to Ganfeng</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(10,723)</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Lease payments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(153)</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Net cash provided/(used) in financing activities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731 </w:t>
            </w:r>
          </w:p>
        </w:tc>
        <w:tc>
          <w:tcPr>
            <w:tcW w:w="39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(62)</w:t>
            </w:r>
          </w:p>
        </w:tc>
        <w:tc>
          <w:tcPr>
            <w:tcW w:w="41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(9,651)</w:t>
            </w:r>
          </w:p>
        </w:tc>
        <w:tc>
          <w:tcPr>
            <w:tcW w:w="34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(180)</w:t>
            </w:r>
          </w:p>
        </w:tc>
        <w:tc>
          <w:tcPr>
            <w:tcW w:w="50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Effect of foreign exchange on cash</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(80)</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(193)</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CHANGE IN CASH AND CASH EQUIVALENTS</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2,283 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(5,908)</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38,582 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(17,515)</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AND CASH EQUIVALENTS - BEGINNING OF THE PERIOD</w:t>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97,433 </w:t>
            </w:r>
          </w:p>
        </w:tc>
        <w:tc>
          <w:tcPr>
            <w:tcW w:w="39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73,936 </w:t>
            </w:r>
          </w:p>
        </w:tc>
        <w:tc>
          <w:tcPr>
            <w:tcW w:w="4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61,134 </w:t>
            </w:r>
          </w:p>
        </w:tc>
        <w:tc>
          <w:tcPr>
            <w:tcW w:w="34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85,543 </w:t>
            </w:r>
          </w:p>
        </w:tc>
        <w:tc>
          <w:tcPr>
            <w:tcW w:w="5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CASH AND CASH EQUIVALENTS - END OF THE PERIOD</w:t>
            </w:r>
          </w:p>
        </w:tc>
        <w:tc>
          <w:tcPr>
            <w:tcW w:w="481"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99,716 </w:t>
            </w:r>
          </w:p>
        </w:tc>
        <w:tc>
          <w:tcPr>
            <w:tcW w:w="39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68,028 </w:t>
            </w:r>
          </w:p>
        </w:tc>
        <w:tc>
          <w:tcPr>
            <w:tcW w:w="410"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99,716 </w:t>
            </w:r>
          </w:p>
        </w:tc>
        <w:tc>
          <w:tcPr>
            <w:tcW w:w="348"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6"/>
              </w:rPr>
            </w:pPr>
            <w:r>
              <w:rPr>
                <w:rFonts w:ascii="Arial;sans-serif" w:hAnsi="Arial;sans-serif"/>
                <w:b w:val="false"/>
                <w:color w:val="000000"/>
                <w:sz w:val="16"/>
              </w:rPr>
              <w:t>68,028 </w:t>
            </w:r>
          </w:p>
        </w:tc>
        <w:tc>
          <w:tcPr>
            <w:tcW w:w="504"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803910"/>
                <wp:effectExtent l="0" t="0" r="0" b="0"/>
                <wp:wrapNone/>
                <wp:docPr id="16" name="Frame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5" descr=""/>
                                                <pic:cNvPicPr>
                                                  <a:picLocks noChangeAspect="1" noChangeArrowheads="1"/>
                                                </pic:cNvPicPr>
                                              </pic:nvPicPr>
                                              <pic:blipFill>
                                                <a:blip r:embed="rId9"/>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10"/>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1.NATURE OF OPERATIONS AND GOING CONCERN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Lithium Argentina AG (“Lithium Argentina”, the “Company” or “LAR”), is a Swiss-domiciled resource company with lithium projects located in Argentina.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January 23, 2025, the Company completed a plan of arrangement under the laws of the province of British Columbia (the “Arrangement”) involving the Company’s continuation from the province of British Columbia under the name “Lithium Americas (Argentina) Corp.” into Zug, Canton of Zug, Switzerland, as a Swiss share corporation under the name “Lithium Argentina AG.” As a result, the Company ceased to be governed by the Business Corporations Act (British Columbia). Following the Arrangement, the shareholders of the Company prior to the Arrangement continued to hold all the issued and outstanding common registered shares of the Company (the “Continuation”) (Note 13). On January 27, 2025, the Company began trading under the new symbol “LAR” on the Toronto Stock Exchange (“TSX”) and the New York Stock Exchange (“NYSE”).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registered office is located at Dammstrasse 19, 6300 Zug, Switzerland.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is focused on the operations of the Cauchari-Olaroz project (“Cauchari-Olaroz”). Cauchari-Olaroz is a lithium brine operation located in the Salar de Olaroz and Salar de Cauchari in Jujuy province, north-western Argentina. The Company’s interest in Cauchari-Olaroz is held through a 44.8% ownership interest in Minera Exar S.A. (“Minera Exar”), a company incorporated under the laws of Argentina. Ganfeng Lithium Co. Ltd. (“Ganfeng”) owns 46.7% of Minera Exar with the remaining 8.5% interest held by Jujuy Energia y Mineria Sociedad del Estado (“JEMSE”), a mining investment company owned by the provincial government of Jujuy. Cauchari-Olaroz is in the production stage and achieved commercial production effective October 1, 2024, and is accounted for using the equity method.</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The Company also owns 85.1% interest in the Pastos Grandes lithium project (“Pastos Grandes”) acquired through the acquisition of Millennial Lithium B.V. (“Millennial”) on January 25, 2022, and a 65% ownership interest in the Sal de la Puna project (“Sal de la Puna”), acquired through the acquisition of its wholly-owned subsidiary Arena Minerals Holdings B.V. (“Arena Minerals”) on April 20, 2023. The Company's 65% ownership interest in Sal de la Puna, was transferred from Arena Minerals to Millennial in Q2 2026. Pastos Grandes and Sal de la Puna are lithium brine projects located in Salta province, in north-western Argentina. Pastos Grandes is fully consolidated in the Company’s financial statements, whereas Sal de la Puna is accounted for using the equity method.</w:t>
      </w:r>
    </w:p>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These consolidated interim financial statements have been prepared on a going concern basis, which assumes that the Company will be able to meet its obligations and continue its operations for at least the next twelve months.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cash and cash equivalents of $99,716 (2025 - $61,134), a six-year $130,000 debt facility with Ganfeng bearing interest at SOFR plus 2.5% (the “Debt Facility”) (Note 21). Subsequent to June 30, 2026, the Company received $27,400 from Exar Capital as a repayment of a portion of outstanding loan and related interest (Note 22). The Company's equity-settleable convertible notes with a face value of $258,750 are due on January 15, 2027.</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accordance with the shareholder agreement that regulates governance of Cauchari-Olaroz, any excess cash flow (as defined in the shareholder agreement), from Cauchari-Olaroz is distributed among the Company and Ganfeng until a joint decision on any expansion plan is finalized.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expects distributions from Cauchari-Olaroz to be sufficient to service the current portion of its long-term debt. However, its ability to maintain normal operations and meet these obligations ultimately depends on generating and repatriating sufficient cash flows from lithium carbonate production at Cauchari-Olaroz, or alternatively, securing additional financing.</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03910"/>
                <wp:effectExtent l="0" t="0" r="0" b="0"/>
                <wp:wrapNone/>
                <wp:docPr id="19" name="Frame1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 descr=""/>
                                                <pic:cNvPicPr>
                                                  <a:picLocks noChangeAspect="1" noChangeArrowheads="1"/>
                                                </pic:cNvPicPr>
                                              </pic:nvPicPr>
                                              <pic:blipFill>
                                                <a:blip r:embed="rId11"/>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6" descr=""/>
                                          <pic:cNvPicPr>
                                            <a:picLocks noChangeAspect="1" noChangeArrowheads="1"/>
                                          </pic:cNvPicPr>
                                        </pic:nvPicPr>
                                        <pic:blipFill>
                                          <a:blip r:embed="rId12"/>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1.NATURE OF OPERATIONS AND GOING CONCERN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significance of the assumptions underlying the forecast cash flows from Cauchari-Olaroz, the amount and timing of distribution of the cash flow to the Company and the requirement to satisfy the current portion of long-term debt, gives rise to material uncertainty which may cast significant doubt (or substantial doubt as contemplated by Public Company Accounting Oversight Board (“PCAOB”) standards) on the Company’s ability to continue as a going concern. Although the Company has been successful in obtaining distribution of cash flow from Cauchari-Olaroz and obtaining financing in the past, there can be no assurance that it will be able to distribute sufficient additional cash flow and obtain adequate financing in the future or that such financing will be available on terms acceptable to the Company.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If the Company is unable to continue as a going concern, material adjustments to the recoverability and amounts of assets and liabilities, the reported expenses, and the balance sheet classifications of assets and liabilities may be required. These consolidated financial statements do not include any adjustments that may result from the outcome of this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2.BASIS OF PRESENTATION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These condensed consolidated interim financial statements of the Company (“Interim Financials”) have been prepared in accordance with IFRS Accounting Standards applicable to the preparation of interim financial statements, under International Accounting Standard 34, Interim Financial Reporting and were approved by the Board of Directors on August 10, 2026. The Interim Financials should be read in conjunction with the Company’s annual consolidated financial statements for the year ended December 31, 2025 (the “2025 Annual Financials”), which have been prepared in accordance with IFRS Accounting Standards.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Interim Financials are expressed in United States dollars (“US$”), the Company’s presentation currency. The same accounting policies and methods of computation have been used in the Interim Financials and 2025 Annual Financials other than those disclosed in Note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3.SUMMARY OF MATERIAL ACCOUNTING POLICIES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Estimation Uncertainty and Accounting policy judgments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preparation of these Interim Financials in conformity with IFRS Accounting Standards applicable to the preparation of interim financial statements requires judgments, estimates, and assumptions that affect the amounts reported. Those estimates and assumptions concerning the future may differ from actual results. Estimates and judgments are continually evaluated and are based on historical experience and other factors, including expectations of future events that are believed to be reasonable under the circumstances. The nature and number of significant estimates and judgments made by management in applying the Company’s accounting policies and the key sources of estimation uncertainty are the same as those that management applied to the 2025 Annual Financials except as disclosed below.</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New IFRS Pronouncements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Amendments to IFRS 9 and IFRS 7 – Amendments to the Classification and Measurement of Financial Instruments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 adopted the amendments to IFRS 9 and IFRS 7, Amendments to the Classification and Measurement of Financial Instruments effective January 1, 2026. These amendments clarified the recognition and derecognition date of certain financial assets and liabilities, and amended the requirements related to settling financial liabilities using an electronic payment system. </w:t>
      </w: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03910"/>
                <wp:effectExtent l="0" t="0" r="0" b="0"/>
                <wp:wrapNone/>
                <wp:docPr id="22" name="Frame1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7" descr=""/>
                                                <pic:cNvPicPr>
                                                  <a:picLocks noChangeAspect="1" noChangeArrowheads="1"/>
                                                </pic:cNvPicPr>
                                              </pic:nvPicPr>
                                              <pic:blipFill>
                                                <a:blip r:embed="rId1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7" descr=""/>
                                          <pic:cNvPicPr>
                                            <a:picLocks noChangeAspect="1" noChangeArrowheads="1"/>
                                          </pic:cNvPicPr>
                                        </pic:nvPicPr>
                                        <pic:blipFill>
                                          <a:blip r:embed="rId1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3.    SUMMARY OF MATERIAL ACCOUNTING POLICIES </w:t>
      </w:r>
      <w:r>
        <w:rPr>
          <w:rFonts w:ascii="Arial;sans-serif" w:hAnsi="Arial;sans-serif"/>
          <w:b w:val="false"/>
          <w:i/>
          <w:color w:val="153A57"/>
          <w:sz w:val="20"/>
        </w:rPr>
        <w:t>(continued)</w:t>
      </w:r>
    </w:p>
    <w:p>
      <w:pPr>
        <w:pStyle w:val="TextBody"/>
        <w:bidi w:val="0"/>
        <w:spacing w:before="0" w:after="200"/>
        <w:ind w:left="0" w:right="0" w:hanging="36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These amendments require additional disclosures for financial instruments with contingent features that do not relate directly to basic lending risks and costs and amended disclosures relating to equity instruments designated at fair value through other comprehensive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Upon adoption, the Company applied the optional exemption permitting derecognition of financial liabilities settled through qualifying electronic payment systems at the date the payment instruction is released, rather than the settlement date. Management assessed the Company’s payment processes and determined that the criteria for application of this exemption are met.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adoption of these amendments did not have a material impact on the Company’s condensed consolidated interim financial statements and did not result in any significant changes to the classification or measurement of financial instruments.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IFRS 18 Presentation and Disclosure in Financial Statements</w:t>
      </w:r>
    </w:p>
    <w:p>
      <w:pPr>
        <w:pStyle w:val="TextBody"/>
        <w:bidi w:val="0"/>
        <w:spacing w:lineRule="auto" w:line="288" w:before="0" w:after="200"/>
        <w:jc w:val="both"/>
        <w:rPr/>
      </w:pPr>
      <w:r>
        <w:rPr>
          <w:rFonts w:ascii="Arial;sans-serif" w:hAnsi="Arial;sans-serif"/>
          <w:b w:val="false"/>
          <w:color w:val="000000"/>
          <w:sz w:val="20"/>
        </w:rPr>
        <w:t xml:space="preserve">In April 2024, the International Accounting Standards Board (“IASB”) issued IFRS 18, </w:t>
      </w:r>
      <w:r>
        <w:rPr>
          <w:rFonts w:ascii="Arial;sans-serif" w:hAnsi="Arial;sans-serif"/>
          <w:b w:val="false"/>
          <w:i/>
          <w:color w:val="000000"/>
          <w:sz w:val="20"/>
        </w:rPr>
        <w:t xml:space="preserve">Presentation and Disclosure in Financial Statements </w:t>
      </w:r>
      <w:r>
        <w:rPr>
          <w:rFonts w:ascii="Arial;sans-serif" w:hAnsi="Arial;sans-serif"/>
          <w:b w:val="false"/>
          <w:color w:val="000000"/>
          <w:sz w:val="20"/>
        </w:rPr>
        <w:t xml:space="preserve">which will replace IAS 1, </w:t>
      </w:r>
      <w:r>
        <w:rPr>
          <w:rFonts w:ascii="Arial;sans-serif" w:hAnsi="Arial;sans-serif"/>
          <w:b w:val="false"/>
          <w:i/>
          <w:color w:val="000000"/>
          <w:sz w:val="20"/>
        </w:rPr>
        <w:t>Presentation of Financial Statements</w:t>
      </w:r>
      <w:r>
        <w:rPr>
          <w:rFonts w:ascii="Arial;sans-serif" w:hAnsi="Arial;sans-serif"/>
          <w:b w:val="false"/>
          <w:color w:val="000000"/>
          <w:sz w:val="20"/>
        </w:rPr>
        <w:t>. IFRS 18 introduces new requirements on presentation within the statement of profit or loss, including specified totals and subtotals.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It also requires disclosure of management-defined performance measures and includes new requirements for aggregation and disaggregation of financial information based on the identified ‘roles’ of the primary financial statements and the notes.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addition, there are consequential amendments to other accounting standards; some requirements previously included in IAS 1 have been moved to IAS 8 and limited amendments have been made to IAS 7 and IAS 34. IFRS 18 is effective for the reporting period beginning on or after January 1, 2027, with early application permitted. Retrospective application is required in both annual and interim financial statements. The Company is currently assessing the impact of this standard on its financial statements and has not yet applied it.</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Amendments to IAS 28 – Fair Value Option for Investments in Associates and Joint Ventures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June 2026, IASB issued amendments to IAS 28, Investments in Associates and Joint Ventures, which clarify the application of the fair value option for investments in associates and joint ventures. The amendments specify which entities are eligible to elect to measure such investments at fair value through profit or loss, thereby providing additional guidance on the scope and application of this option.</w:t>
      </w:r>
    </w:p>
    <w:p>
      <w:pPr>
        <w:pStyle w:val="TextBody"/>
        <w:bidi w:val="0"/>
        <w:spacing w:lineRule="auto" w:line="288" w:before="0" w:after="200"/>
        <w:jc w:val="both"/>
        <w:rPr/>
      </w:pPr>
      <w:r>
        <w:rPr>
          <w:rFonts w:ascii="Arial;sans-serif" w:hAnsi="Arial;sans-serif"/>
          <w:b w:val="false"/>
          <w:color w:val="000000"/>
          <w:sz w:val="20"/>
        </w:rPr>
        <w:t xml:space="preserve">The amendments are effective for annual reporting periods beginning on or after January 1, 2027, and are to be applied when an entity first applies IFRS 18, </w:t>
      </w:r>
      <w:r>
        <w:rPr>
          <w:rFonts w:ascii="Arial;sans-serif" w:hAnsi="Arial;sans-serif"/>
          <w:b w:val="false"/>
          <w:i/>
          <w:color w:val="000000"/>
          <w:sz w:val="20"/>
        </w:rPr>
        <w:t>Presentation and Disclosure in Financial Statements</w:t>
      </w:r>
      <w:r>
        <w:rPr>
          <w:rFonts w:ascii="Arial;sans-serif" w:hAnsi="Arial;sans-serif"/>
          <w:b w:val="false"/>
          <w:color w:val="000000"/>
          <w:sz w:val="20"/>
        </w:rPr>
        <w:t>. Early application is permitted if IFRS 18 is adopted early. The Company is currently assessing the impact of these amendments on its financial statements and has not yet applied them.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03910"/>
                <wp:effectExtent l="0" t="0" r="0" b="0"/>
                <wp:wrapNone/>
                <wp:docPr id="25" name="Frame1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8" descr=""/>
                                                <pic:cNvPicPr>
                                                  <a:picLocks noChangeAspect="1" noChangeArrowheads="1"/>
                                                </pic:cNvPicPr>
                                              </pic:nvPicPr>
                                              <pic:blipFill>
                                                <a:blip r:embed="rId1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1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4.CASH AND CASH EQUIVALENTS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Cash and cash equivalents</w:t>
      </w:r>
    </w:p>
    <w:tbl>
      <w:tblPr>
        <w:tblW w:w="4648" w:type="dxa"/>
        <w:jc w:val="left"/>
        <w:tblInd w:w="0" w:type="dxa"/>
        <w:tblLayout w:type="fixed"/>
        <w:tblCellMar>
          <w:top w:w="28" w:type="dxa"/>
          <w:left w:w="28" w:type="dxa"/>
          <w:bottom w:w="28" w:type="dxa"/>
          <w:right w:w="28" w:type="dxa"/>
        </w:tblCellMar>
      </w:tblPr>
      <w:tblGrid>
        <w:gridCol w:w="558"/>
        <w:gridCol w:w="491"/>
        <w:gridCol w:w="495"/>
        <w:gridCol w:w="429"/>
        <w:gridCol w:w="429"/>
        <w:gridCol w:w="431"/>
        <w:gridCol w:w="530"/>
        <w:gridCol w:w="530"/>
        <w:gridCol w:w="755"/>
      </w:tblGrid>
      <w:tr>
        <w:trPr/>
        <w:tc>
          <w:tcPr>
            <w:tcW w:w="55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8" w:space="0" w:color="153A57"/>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154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w:t>
            </w:r>
          </w:p>
        </w:tc>
        <w:tc>
          <w:tcPr>
            <w:tcW w:w="858"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9,146 </w:t>
            </w:r>
          </w:p>
        </w:tc>
        <w:tc>
          <w:tcPr>
            <w:tcW w:w="431"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6,587 </w:t>
            </w:r>
          </w:p>
        </w:tc>
        <w:tc>
          <w:tcPr>
            <w:tcW w:w="75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equivalents</w:t>
            </w:r>
          </w:p>
        </w:tc>
        <w:tc>
          <w:tcPr>
            <w:tcW w:w="85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90,570 </w:t>
            </w:r>
          </w:p>
        </w:tc>
        <w:tc>
          <w:tcPr>
            <w:tcW w:w="43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54,547 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99,716 </w:t>
            </w:r>
          </w:p>
        </w:tc>
        <w:tc>
          <w:tcPr>
            <w:tcW w:w="431"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61,134 </w:t>
            </w:r>
          </w:p>
        </w:tc>
        <w:tc>
          <w:tcPr>
            <w:tcW w:w="755"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cash and cash equivalents included $100 held in Canadian dollars (December 31, 2025 – $65), $99,280 in US dollars (December 31, 2025 – $59,152), $122 in Argentine Pesos (December 31, 2025 – $1,872) and $214 in Swiss Francs (December 31, 2025 – $45). During the six months ended June 30, 2026, cash and cash equivalents generated an interest income of $1,571 (2025 – $1,495).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5.SAL DE LA PUNA JOINT VENTURE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holds a 65% interest in the Sal de la Puna Project (acquired via Arena Minerals on April 20, 2023; held through Millennial since Q2 2026), via a joint venture stake in Sal de la Puna Holdings S.à r.l., 100% owner of Puna Argentina S.A.U. ("PASA"), which holds the project claims.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remaining 35% of PASA is owned by joint venture partner Ganfeng New Energy Technology Development (Suzhou) Co., Ltd. The Sal de la Puna Project covers approximately 13,852 hectares of the Pastos Grandes Basin.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Company’s 65% ownership interest in Sal de la Puna is a joint venture and is accounted for using the equity method of accounting. Changes in the investment balance are summarized below:</w:t>
      </w:r>
    </w:p>
    <w:tbl>
      <w:tblPr>
        <w:tblW w:w="5570" w:type="dxa"/>
        <w:jc w:val="left"/>
        <w:tblInd w:w="0" w:type="dxa"/>
        <w:tblLayout w:type="fixed"/>
        <w:tblCellMar>
          <w:top w:w="28" w:type="dxa"/>
          <w:left w:w="28" w:type="dxa"/>
          <w:bottom w:w="28" w:type="dxa"/>
          <w:right w:w="28" w:type="dxa"/>
        </w:tblCellMar>
      </w:tblPr>
      <w:tblGrid>
        <w:gridCol w:w="1661"/>
        <w:gridCol w:w="1460"/>
        <w:gridCol w:w="1469"/>
        <w:gridCol w:w="413"/>
        <w:gridCol w:w="413"/>
        <w:gridCol w:w="154"/>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Sal de la Puna, as at December 31, 2024</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183,207 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Contribution to investment in Sal de la Puna</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loss of Sal de la Puna</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Sal de la Puna, as at December 31, 2025</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183,370 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Contribution to investment in Sal de la Puna</w:t>
            </w:r>
          </w:p>
        </w:tc>
        <w:tc>
          <w:tcPr>
            <w:tcW w:w="82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54"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loss of Sal de la Puna</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(208)</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Sal de la Puna, as at June 30, 2026</w:t>
            </w:r>
          </w:p>
        </w:tc>
        <w:tc>
          <w:tcPr>
            <w:tcW w:w="826" w:type="dxa"/>
            <w:gridSpan w:val="2"/>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183,396 </w:t>
            </w:r>
          </w:p>
        </w:tc>
        <w:tc>
          <w:tcPr>
            <w:tcW w:w="154" w:type="dxa"/>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6.INVESTMENT IN CAUCHARI-OLAROZ PROJECT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Ganfeng, and JEMSE hold 44.8%, 46.7%, and 8.5% equity interests, respectively, in Minera Exar, the entity that holds all rights, title, and interest in the Cauchari-Olaroz project, located in the Jujuy province of Argentina. The Company and Ganfeng are also 49% and 51% shareholders, respectively, in Exar Capital, a company that provides shareholder financing to Minera Exar. Minera Exar and Exar Capital are associates of the Company and are accounted for using the equity method of accounting. The investment in Minera Exar and Exar Capital together is referred to as the “Investment in Cauchari-Olaroz project.”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Company’s operations related to Cauchari-Olaroz are conducted through its equity investees, Minera Exar and Exar Capital, which are governed by a shareholders’ agreement between the Company and Ganfeng. The agreement regulates key aspects of governance and provides the Company with significant influence over Minera Exar. </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803910"/>
                <wp:effectExtent l="0" t="0" r="0" b="0"/>
                <wp:wrapNone/>
                <wp:docPr id="28" name="Frame1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9" descr=""/>
                                          <pic:cNvPicPr>
                                            <a:picLocks noChangeAspect="1" noChangeArrowheads="1"/>
                                          </pic:cNvPicPr>
                                        </pic:nvPicPr>
                                        <pic:blipFill>
                                          <a:blip r:embed="rId1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6.INVESTMENT IN CAUCHARI-OLAROZ PROJECT </w:t>
      </w:r>
      <w:r>
        <w:rPr>
          <w:rFonts w:ascii="Arial;sans-serif" w:hAnsi="Arial;sans-serif"/>
          <w:b w:val="false"/>
          <w:i/>
          <w:color w:val="153A57"/>
          <w:sz w:val="20"/>
        </w:rPr>
        <w:t>(continued)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Under the agreement, the Company and Ganfeng are entitled to the project’s production offtake on a 49%/51% basis, and construction costs are shared on the same pro-rata basis.</w:t>
      </w:r>
    </w:p>
    <w:p>
      <w:pPr>
        <w:pStyle w:val="TextBody"/>
        <w:bidi w:val="0"/>
        <w:spacing w:before="0" w:after="0"/>
        <w:jc w:val="both"/>
        <w:rPr/>
      </w:pPr>
      <w:r>
        <w:rPr/>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JEMSE Receivable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long-term receivables from JEMSE arising from arrangements under which JEMSE reimburses the Company for certain historical project funding through the assignment of a portion of future dividends from Minera Exar.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2025, the Company recognized adjustments to the carrying value of these receivables based on updated cash flow estimates, including the recognition of an additional receivable in connection with the loan restructuring completed during the year.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total carrying value of the long-term receivables from JEMSE was $8,468 (December 31, 2025 – $8,077).</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2025 Restructuring of Loans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During the year ended December 31, 2025, as part of a restructuring of loans (the “Restructuring”), the Company and Ganfeng amended and restated loan agreements relating to loans advanced to Exar Capital.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Concurrently, Exar Capital amended and restated agreements relating to the loans advanced to Minera Exar (collectively, the “Amendments”), revising interest rates to market levels effective for fiscal year 2025 and subsequent periods and extending the maturity dates. These modifications were treated as an extinguishment of the existing loans and the issuance of new loans at market rates of interest.</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part of the Restructuring, on August 27, 2025, Exar Capital assigned certain loan receivables from Minera Exar to the Company and Ganfeng. The total carrying value of the loans assigned was $208,121, of which the Company’s portion amounted to $101,979. In exchange, the Company cancelled loans owed by Exar Capital with a carrying value of $99,422. The assigned loans receivable from Minera Exar were subsequently settled through a capital contribution by the Company and Ganfeng to Minera Exar.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Because the Restructuring resulted from transactions between shareholders rather than with external parties, the Company determined that the net effect represented a transaction between owners in their capacity as owners. Accordingly, the capitalization of loans was recorded as an increase in the Company’s investment in the Cauchari-Olaroz project, with no gain or loss recognized in the statement of comprehensive loss.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connection with the Restructuring, JEMSE retained its ownership interest in Minera Exar in exchange for an agreement to reimburse the Company and Ganfeng through the assignment of one-third of dividends otherwise payable to JEMSE in future periods, up to an additional $8,271 and $8,609, respectively, after the previous dividend assignment has been fully repaid. The Company recognized its portion of the additional JEMSE receivable at fair value of $2,789 and recorded a reduction in its investment of $8,668, resulting in a loss of $5,879 in the third quarter of 2025. The fair value of the additional long-term receivable from JEMSE was estimated by discounting the Company’s share of expected future reimbursements by JEMSE to their present value, reflecting the timing of settlement through the assignment of future dividends otherwise payable to JEMSE. The valuation assumed a discount rate of 10%. The timing of expected reimbursements was estimated based on projected cash flows of Minera Exar.</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03910"/>
                <wp:effectExtent l="0" t="0" r="0" b="0"/>
                <wp:wrapNone/>
                <wp:docPr id="31" name="Frame1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0" descr=""/>
                                                <pic:cNvPicPr>
                                                  <a:picLocks noChangeAspect="1" noChangeArrowheads="1"/>
                                                </pic:cNvPicPr>
                                              </pic:nvPicPr>
                                              <pic:blipFill>
                                                <a:blip r:embed="rId19"/>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0" descr=""/>
                                          <pic:cNvPicPr>
                                            <a:picLocks noChangeAspect="1" noChangeArrowheads="1"/>
                                          </pic:cNvPicPr>
                                        </pic:nvPicPr>
                                        <pic:blipFill>
                                          <a:blip r:embed="rId20"/>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6.INVESTMENT IN CAUCHARI-OLAROZ PROJECT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Investment in Cauchari-Olaroz Project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Changes in the Investment in Cauchari-Olaroz Project are summarized below:</w:t>
      </w:r>
    </w:p>
    <w:tbl>
      <w:tblPr>
        <w:tblW w:w="7925" w:type="dxa"/>
        <w:jc w:val="left"/>
        <w:tblInd w:w="0" w:type="dxa"/>
        <w:tblLayout w:type="fixed"/>
        <w:tblCellMar>
          <w:top w:w="28" w:type="dxa"/>
          <w:left w:w="28" w:type="dxa"/>
          <w:bottom w:w="28" w:type="dxa"/>
          <w:right w:w="28" w:type="dxa"/>
        </w:tblCellMar>
      </w:tblPr>
      <w:tblGrid>
        <w:gridCol w:w="2516"/>
        <w:gridCol w:w="2210"/>
        <w:gridCol w:w="2219"/>
        <w:gridCol w:w="411"/>
        <w:gridCol w:w="415"/>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21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69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Cauchari-Olaroz Project, as at December 31, 2024</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32,919 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Contribution to investment in Cauchari-Olaroz Project through capitalization of loans</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99,422 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Reduction in investment arising from capital contribution allocated to JEMSE</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Shareholder's contribution from the restructuring of loans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Gain on modification of Exar-PGCo loan amendment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Recognition of previously unrecognized share of losses for year 2024</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(26,043)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loss of Cauchari-Olaroz Project for the current period</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(13,724)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Cauchari-Olaroz Project, as at December 31, 2025</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93,352 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of income of Cauchari-Olaroz Project for the current period</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34,323 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5"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Investment in Cauchari-Olaroz Project, as at June 30, 2026</w:t>
            </w:r>
          </w:p>
        </w:tc>
        <w:tc>
          <w:tcPr>
            <w:tcW w:w="82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127,675 </w:t>
            </w:r>
          </w:p>
        </w:tc>
        <w:tc>
          <w:tcPr>
            <w:tcW w:w="154"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 the six months ended June 30, 2026, the Company recognized its share of income from the Cauchari-Olaroz project totaling $34,323 in the statement of comprehensive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is the condensed financial information of Minera Exar on a 100% basis, as amended to reflect the Company’s accounting policies.</w:t>
      </w:r>
    </w:p>
    <w:tbl>
      <w:tblPr>
        <w:tblW w:w="7887" w:type="dxa"/>
        <w:jc w:val="left"/>
        <w:tblInd w:w="0" w:type="dxa"/>
        <w:tblLayout w:type="fixed"/>
        <w:tblCellMar>
          <w:top w:w="28" w:type="dxa"/>
          <w:left w:w="28" w:type="dxa"/>
          <w:bottom w:w="28" w:type="dxa"/>
          <w:right w:w="28" w:type="dxa"/>
        </w:tblCellMar>
      </w:tblPr>
      <w:tblGrid>
        <w:gridCol w:w="1687"/>
        <w:gridCol w:w="1482"/>
        <w:gridCol w:w="1496"/>
        <w:gridCol w:w="506"/>
        <w:gridCol w:w="470"/>
        <w:gridCol w:w="431"/>
        <w:gridCol w:w="530"/>
        <w:gridCol w:w="530"/>
        <w:gridCol w:w="755"/>
      </w:tblGrid>
      <w:tr>
        <w:trPr/>
        <w:tc>
          <w:tcPr>
            <w:tcW w:w="168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op w:val="single" w:sz="18" w:space="0" w:color="153A57"/>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466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407"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30,653 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70,799 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62,340 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16,083 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394,611 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344,482 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487,604 </w:t>
            </w:r>
          </w:p>
        </w:tc>
        <w:tc>
          <w:tcPr>
            <w:tcW w:w="43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431,365 </w:t>
            </w:r>
          </w:p>
        </w:tc>
        <w:tc>
          <w:tcPr>
            <w:tcW w:w="75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1,384,075 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1,409,357 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40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Third-party loans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(169,709)</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(242,910)</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(69,655)</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(61,599)</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97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(239,364)</w:t>
            </w:r>
          </w:p>
        </w:tc>
        <w:tc>
          <w:tcPr>
            <w:tcW w:w="43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(304,509)</w:t>
            </w:r>
          </w:p>
        </w:tc>
        <w:tc>
          <w:tcPr>
            <w:tcW w:w="75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407"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Third-party loans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(65,247)</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(49,781)</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from Exar Capital</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(935,802)</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(911,338)</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from PGCo</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(71,537)</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Derivative liability on loans from Exar Capital and PGCo</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(14,253)</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(10,614)</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(138,447)</w:t>
            </w:r>
          </w:p>
        </w:tc>
        <w:tc>
          <w:tcPr>
            <w:tcW w:w="43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(90,633)</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assets</w:t>
            </w:r>
          </w:p>
        </w:tc>
        <w:tc>
          <w:tcPr>
            <w:tcW w:w="97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478,566 </w:t>
            </w:r>
          </w:p>
        </w:tc>
        <w:tc>
          <w:tcPr>
            <w:tcW w:w="43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402,310 </w:t>
            </w:r>
          </w:p>
        </w:tc>
        <w:tc>
          <w:tcPr>
            <w:tcW w:w="755"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As of June 30, 2026, Minera Exar’s outstanding third-party debt amounted to $234,956 (December 31, 2025 – $292,690), while its cash and short-term investments balance was $92,993 (December 31, 2025 – $86,882). During the six months ended June 30, 2026, Minera Exar fully repaid the $72,015 credit facility previously owed to PGCo. </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03910"/>
                <wp:effectExtent l="0" t="0" r="0" b="0"/>
                <wp:wrapNone/>
                <wp:docPr id="34" name="Frame1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1" descr=""/>
                                                <pic:cNvPicPr>
                                                  <a:picLocks noChangeAspect="1" noChangeArrowheads="1"/>
                                                </pic:cNvPicPr>
                                              </pic:nvPicPr>
                                              <pic:blipFill>
                                                <a:blip r:embed="rId21"/>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1" descr=""/>
                                          <pic:cNvPicPr>
                                            <a:picLocks noChangeAspect="1" noChangeArrowheads="1"/>
                                          </pic:cNvPicPr>
                                        </pic:nvPicPr>
                                        <pic:blipFill>
                                          <a:blip r:embed="rId22"/>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10</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6.INVESTMENT IN CAUCHARI-OLAROZ PROJECT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total debt comprises the following:</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 xml:space="preserve">Approximately $100,000 loan from a major international bank, secured by standby letters of credit arranged by Ganfeng, maturing within twelve months from </w:t>
      </w:r>
      <w:r>
        <w:rPr>
          <w:rFonts w:ascii="Arial;sans-serif" w:hAnsi="Arial;sans-serif"/>
          <w:b w:val="false"/>
          <w:color w:val="000000"/>
          <w:sz w:val="20"/>
          <w:shd w:fill="FFFFFF" w:val="clear"/>
        </w:rPr>
        <w:t>June 30, 2026. The Company has provided a guarantee to Ganfeng for its 49% share, amounting to $49,000, in respect of this loan. No amount has been recognized by the Company in respect of this guarantee as at June 30, 2026.</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and Ganfeng have negotiated a three-year extension of the maturity of this loan, which has been approved by the regulatory authority. As the standby letter of credit was originally issued for a one-year term, the loan was structured with a corresponding one-year maturity. Upon extension of the standby letter of credit, the loan will automatically roll over for the remainder of the agreed three-year term.</w:t>
      </w:r>
    </w:p>
    <w:p>
      <w:pPr>
        <w:pStyle w:val="TextBody"/>
        <w:bidi w:val="0"/>
        <w:spacing w:before="0" w:after="0"/>
        <w:jc w:val="left"/>
        <w:rPr/>
      </w:pPr>
      <w:r>
        <w:rPr/>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0"/>
        </w:rPr>
        <w:t xml:space="preserve">Approximately $15,300 loan from a major international bank, secured by a standby letter of credit arranged by Ganfeng, maturing in June 2028. </w:t>
      </w:r>
    </w:p>
    <w:p>
      <w:pPr>
        <w:pStyle w:val="TextBody"/>
        <w:bidi w:val="0"/>
        <w:spacing w:before="0" w:after="0"/>
        <w:ind w:left="0" w:right="0" w:hanging="360"/>
        <w:jc w:val="both"/>
        <w:rPr/>
      </w:pPr>
      <w:r>
        <w:rPr/>
      </w:r>
    </w:p>
    <w:p>
      <w:pPr>
        <w:pStyle w:val="TextBody"/>
        <w:bidi w:val="0"/>
        <w:spacing w:lineRule="auto" w:line="288" w:before="0" w:after="200"/>
        <w:ind w:left="0" w:right="0" w:hanging="720"/>
        <w:jc w:val="both"/>
        <w:rPr/>
      </w:pPr>
      <w:r>
        <w:rPr>
          <w:color w:val="000000"/>
          <w:shd w:fill="FFFFFF" w:val="clear"/>
        </w:rPr>
        <w:t>•</w:t>
      </w:r>
      <w:r>
        <w:rPr>
          <w:rFonts w:ascii="Arial;sans-serif" w:hAnsi="Arial;sans-serif"/>
          <w:b w:val="false"/>
          <w:color w:val="000000"/>
          <w:sz w:val="20"/>
          <w:shd w:fill="FFFFFF" w:val="clear"/>
        </w:rPr>
        <w:t xml:space="preserve">Approximately $69,600 in third-party unsecured loans, </w:t>
      </w:r>
      <w:r>
        <w:rPr>
          <w:rFonts w:ascii="Arial;sans-serif" w:hAnsi="Arial;sans-serif"/>
          <w:b w:val="false"/>
          <w:color w:val="000000"/>
          <w:sz w:val="20"/>
        </w:rPr>
        <w:t xml:space="preserve">maturing within twelve months from </w:t>
      </w:r>
      <w:r>
        <w:rPr>
          <w:rFonts w:ascii="Arial;sans-serif" w:hAnsi="Arial;sans-serif"/>
          <w:b w:val="false"/>
          <w:color w:val="000000"/>
          <w:sz w:val="20"/>
          <w:shd w:fill="FFFFFF" w:val="clear"/>
        </w:rPr>
        <w:t>June 30, 2026.</w:t>
      </w:r>
    </w:p>
    <w:p>
      <w:pPr>
        <w:pStyle w:val="TextBody"/>
        <w:bidi w:val="0"/>
        <w:spacing w:lineRule="auto" w:line="288" w:before="0" w:after="200"/>
        <w:ind w:left="0" w:right="0" w:hanging="720"/>
        <w:jc w:val="both"/>
        <w:rPr/>
      </w:pPr>
      <w:r>
        <w:rPr>
          <w:color w:val="000000"/>
          <w:shd w:fill="FFFFFF" w:val="clear"/>
        </w:rPr>
        <w:t>•</w:t>
      </w:r>
      <w:r>
        <w:rPr>
          <w:rFonts w:ascii="Arial;sans-serif" w:hAnsi="Arial;sans-serif"/>
          <w:b w:val="false"/>
          <w:color w:val="000000"/>
          <w:sz w:val="20"/>
          <w:shd w:fill="FFFFFF" w:val="clear"/>
        </w:rPr>
        <w:t>Approximately $50,000 in unsecured bonds issued by Minera Exar in November 2024, carrying a contractual interest rate of 8% with semi-annual interest payments. The bonds’ principal will mature in two tranches: the first tranche of $25,000 on May 11, 2027, and the second tranche of $25,000 on November 11, 2027.</w:t>
      </w:r>
    </w:p>
    <w:tbl>
      <w:tblPr>
        <w:tblW w:w="10205" w:type="dxa"/>
        <w:jc w:val="left"/>
        <w:tblInd w:w="0" w:type="dxa"/>
        <w:tblLayout w:type="fixed"/>
        <w:tblCellMar>
          <w:top w:w="28" w:type="dxa"/>
          <w:left w:w="28" w:type="dxa"/>
          <w:bottom w:w="28" w:type="dxa"/>
          <w:right w:w="28" w:type="dxa"/>
        </w:tblCellMar>
      </w:tblPr>
      <w:tblGrid>
        <w:gridCol w:w="1720"/>
        <w:gridCol w:w="1512"/>
        <w:gridCol w:w="1519"/>
        <w:gridCol w:w="435"/>
        <w:gridCol w:w="434"/>
        <w:gridCol w:w="433"/>
        <w:gridCol w:w="435"/>
        <w:gridCol w:w="434"/>
        <w:gridCol w:w="447"/>
        <w:gridCol w:w="579"/>
        <w:gridCol w:w="377"/>
        <w:gridCol w:w="376"/>
        <w:gridCol w:w="572"/>
        <w:gridCol w:w="377"/>
        <w:gridCol w:w="555"/>
      </w:tblGrid>
      <w:tr>
        <w:trPr/>
        <w:tc>
          <w:tcPr>
            <w:tcW w:w="1720"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8"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836"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Exar Condensed Statement of Comprehensive Income</w:t>
            </w:r>
          </w:p>
        </w:tc>
        <w:tc>
          <w:tcPr>
            <w:tcW w:w="130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1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33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5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(100% basis unless otherwise indicated)</w:t>
            </w:r>
          </w:p>
        </w:tc>
        <w:tc>
          <w:tcPr>
            <w:tcW w:w="130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1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50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475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69"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174,133 </w:t>
            </w:r>
          </w:p>
        </w:tc>
        <w:tc>
          <w:tcPr>
            <w:tcW w:w="433"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63,683 </w:t>
            </w:r>
          </w:p>
        </w:tc>
        <w:tc>
          <w:tcPr>
            <w:tcW w:w="44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342,421 </w:t>
            </w:r>
          </w:p>
        </w:tc>
        <w:tc>
          <w:tcPr>
            <w:tcW w:w="3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121,461 </w:t>
            </w:r>
          </w:p>
        </w:tc>
        <w:tc>
          <w:tcPr>
            <w:tcW w:w="55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(63,141)</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(63,270)</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(128,340)</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(117,055)</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69"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110,992 </w:t>
            </w:r>
          </w:p>
        </w:tc>
        <w:tc>
          <w:tcPr>
            <w:tcW w:w="433"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413 </w:t>
            </w:r>
          </w:p>
        </w:tc>
        <w:tc>
          <w:tcPr>
            <w:tcW w:w="44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214,081 </w:t>
            </w:r>
          </w:p>
        </w:tc>
        <w:tc>
          <w:tcPr>
            <w:tcW w:w="37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4,406 </w:t>
            </w:r>
          </w:p>
        </w:tc>
        <w:tc>
          <w:tcPr>
            <w:tcW w:w="555"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Selling and distribution expenses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(14,042)</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(4,765)</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(26,556)</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(9,374)</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Administrative and other expenses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(1,616)</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(1,548)</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(2,506)</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(4,229)</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Finance costs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(27,916)</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(40,527)</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(50,912)</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(74,154)</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Foreign exchange loss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(7,097)</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(5,228)</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(2,938)</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(5,228)</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Derivative gain/(loss)</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895 </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169,468 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(7,361)</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96,512 </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3,877 </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1,379 </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(895)</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(303)</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Deferred tax expense</w:t>
            </w:r>
          </w:p>
        </w:tc>
        <w:tc>
          <w:tcPr>
            <w:tcW w:w="869"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(38,140)</w:t>
            </w:r>
          </w:p>
        </w:tc>
        <w:tc>
          <w:tcPr>
            <w:tcW w:w="433"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(35,448)</w:t>
            </w:r>
          </w:p>
        </w:tc>
        <w:tc>
          <w:tcPr>
            <w:tcW w:w="4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(46,658)</w:t>
            </w:r>
          </w:p>
        </w:tc>
        <w:tc>
          <w:tcPr>
            <w:tcW w:w="3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(10,851)</w:t>
            </w:r>
          </w:p>
        </w:tc>
        <w:tc>
          <w:tcPr>
            <w:tcW w:w="5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Net income/(loss)</w:t>
            </w:r>
          </w:p>
        </w:tc>
        <w:tc>
          <w:tcPr>
            <w:tcW w:w="869"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26,953 </w:t>
            </w:r>
          </w:p>
        </w:tc>
        <w:tc>
          <w:tcPr>
            <w:tcW w:w="433"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83,744 </w:t>
            </w:r>
          </w:p>
        </w:tc>
        <w:tc>
          <w:tcPr>
            <w:tcW w:w="44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76,255 </w:t>
            </w:r>
          </w:p>
        </w:tc>
        <w:tc>
          <w:tcPr>
            <w:tcW w:w="37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(3,221)</w:t>
            </w:r>
          </w:p>
        </w:tc>
        <w:tc>
          <w:tcPr>
            <w:tcW w:w="555"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Minera Exar has to settle certain loans provided by Exar Capital in US$ with sufficient Argentine Pesos (“ARS$”) at the implied market exchange rate. This settlement mechanism requires Minera Exar to repay the loans with more US$ at the official exchange rate. Since the repayment mechanism for the USD loans provided by Exar Capital is linked to the implied market foreign exchange rate in Argentina rather than the official foreign exchange rate, it results in an embedded derivative in the loans payable by Minera Exar. The fair value of this embedded derivative fluctuates with changes in the spread between the implied market exchange rate and the official exchange rate. During the six months ended June 30, 2026, the spread widened modestly resulting in a fair value loss of $7,361, which was recognized in Minera Exar’s condensed statement of comprehensive income.</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03910"/>
                <wp:effectExtent l="0" t="0" r="0" b="0"/>
                <wp:wrapNone/>
                <wp:docPr id="37" name="Frame1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2" descr=""/>
                                                <pic:cNvPicPr>
                                                  <a:picLocks noChangeAspect="1" noChangeArrowheads="1"/>
                                                </pic:cNvPicPr>
                                              </pic:nvPicPr>
                                              <pic:blipFill>
                                                <a:blip r:embed="rId2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3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2" descr=""/>
                                          <pic:cNvPicPr>
                                            <a:picLocks noChangeAspect="1" noChangeArrowheads="1"/>
                                          </pic:cNvPicPr>
                                        </pic:nvPicPr>
                                        <pic:blipFill>
                                          <a:blip r:embed="rId2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6.INVESTMENT IN CAUCHARI-OLAROZ PROJECT </w:t>
      </w:r>
      <w:r>
        <w:rPr>
          <w:rFonts w:ascii="Arial;sans-serif" w:hAnsi="Arial;sans-serif"/>
          <w:b w:val="false"/>
          <w:i/>
          <w:color w:val="153A57"/>
          <w:sz w:val="20"/>
        </w:rPr>
        <w:t>(continued)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811"/>
        <w:gridCol w:w="1591"/>
        <w:gridCol w:w="1597"/>
        <w:gridCol w:w="448"/>
        <w:gridCol w:w="446"/>
        <w:gridCol w:w="409"/>
        <w:gridCol w:w="435"/>
        <w:gridCol w:w="424"/>
        <w:gridCol w:w="423"/>
        <w:gridCol w:w="579"/>
        <w:gridCol w:w="368"/>
        <w:gridCol w:w="357"/>
        <w:gridCol w:w="396"/>
        <w:gridCol w:w="394"/>
        <w:gridCol w:w="527"/>
      </w:tblGrid>
      <w:tr>
        <w:trPr/>
        <w:tc>
          <w:tcPr>
            <w:tcW w:w="181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Exar Condensed Statement of Cash Flows</w:t>
            </w:r>
          </w:p>
        </w:tc>
        <w:tc>
          <w:tcPr>
            <w:tcW w:w="2585"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621"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(100% basis unless otherwise indicated)</w:t>
            </w:r>
          </w:p>
        </w:tc>
        <w:tc>
          <w:tcPr>
            <w:tcW w:w="1303"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28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304"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1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28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04" w:type="dxa"/>
            <w:gridSpan w:val="3"/>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1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4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provided/(used) in operating activities</w:t>
            </w:r>
          </w:p>
        </w:tc>
        <w:tc>
          <w:tcPr>
            <w:tcW w:w="89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142,443 </w:t>
            </w:r>
          </w:p>
        </w:tc>
        <w:tc>
          <w:tcPr>
            <w:tcW w:w="4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(15,260)</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177,980 </w:t>
            </w:r>
          </w:p>
        </w:tc>
        <w:tc>
          <w:tcPr>
            <w:tcW w:w="35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(38,917)</w:t>
            </w:r>
          </w:p>
        </w:tc>
        <w:tc>
          <w:tcPr>
            <w:tcW w:w="5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(used)/provided by investing activities</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(42,523)</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2,559 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(72,285)</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9,724 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including purchases of property, plant and equipment</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(1,390)</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(2,126)</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(3,646)</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(6,205)</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including repayment of capitalized interest on shareholder loans</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(15,666)</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i/>
                <w:color w:val="000000"/>
                <w:sz w:val="18"/>
              </w:rPr>
            </w:pPr>
            <w:r>
              <w:rPr>
                <w:rFonts w:ascii="Arial;sans-serif" w:hAnsi="Arial;sans-serif"/>
                <w:b w:val="false"/>
                <w:i/>
                <w:color w:val="000000"/>
                <w:sz w:val="18"/>
              </w:rPr>
              <w:t>(16,536)</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(used)/provided by financing activities</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(101,164)</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17,456 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(145,466)</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45,309 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exchange on cash</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(1,935)</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(375)</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(2,311)</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cash and cash equivalents</w:t>
            </w:r>
          </w:p>
        </w:tc>
        <w:tc>
          <w:tcPr>
            <w:tcW w:w="89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(712)</w:t>
            </w:r>
          </w:p>
        </w:tc>
        <w:tc>
          <w:tcPr>
            <w:tcW w:w="409"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2,820 </w:t>
            </w:r>
          </w:p>
        </w:tc>
        <w:tc>
          <w:tcPr>
            <w:tcW w:w="42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(40,146)</w:t>
            </w:r>
          </w:p>
        </w:tc>
        <w:tc>
          <w:tcPr>
            <w:tcW w:w="35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13,805 </w:t>
            </w:r>
          </w:p>
        </w:tc>
        <w:tc>
          <w:tcPr>
            <w:tcW w:w="52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 beginning of the period</w:t>
            </w:r>
          </w:p>
        </w:tc>
        <w:tc>
          <w:tcPr>
            <w:tcW w:w="894"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31,365 </w:t>
            </w:r>
          </w:p>
        </w:tc>
        <w:tc>
          <w:tcPr>
            <w:tcW w:w="409"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22,175 </w:t>
            </w:r>
          </w:p>
        </w:tc>
        <w:tc>
          <w:tcPr>
            <w:tcW w:w="4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70,799 </w:t>
            </w:r>
          </w:p>
        </w:tc>
        <w:tc>
          <w:tcPr>
            <w:tcW w:w="35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11,190 </w:t>
            </w:r>
          </w:p>
        </w:tc>
        <w:tc>
          <w:tcPr>
            <w:tcW w:w="5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99"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Cash and cash equivalents - end of the period</w:t>
            </w:r>
          </w:p>
        </w:tc>
        <w:tc>
          <w:tcPr>
            <w:tcW w:w="894" w:type="dxa"/>
            <w:gridSpan w:val="2"/>
            <w:tcBorders>
              <w:top w:val="single" w:sz="8"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30,653 </w:t>
            </w:r>
          </w:p>
        </w:tc>
        <w:tc>
          <w:tcPr>
            <w:tcW w:w="409" w:type="dxa"/>
            <w:tcBorders>
              <w:top w:val="single" w:sz="8"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423" w:type="dxa"/>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30,653 </w:t>
            </w:r>
          </w:p>
        </w:tc>
        <w:tc>
          <w:tcPr>
            <w:tcW w:w="357" w:type="dxa"/>
            <w:tcBorders>
              <w:top w:val="single" w:sz="8"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24,995 </w:t>
            </w:r>
          </w:p>
        </w:tc>
        <w:tc>
          <w:tcPr>
            <w:tcW w:w="527" w:type="dxa"/>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7.LOANS TO EXAR CAPITAL</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entered into loan agreements with Exar Capital. Changes in the balances of loans to Exar Capital are summarized below.</w:t>
      </w:r>
    </w:p>
    <w:tbl>
      <w:tblPr>
        <w:tblW w:w="6318" w:type="dxa"/>
        <w:jc w:val="left"/>
        <w:tblInd w:w="0" w:type="dxa"/>
        <w:tblLayout w:type="fixed"/>
        <w:tblCellMar>
          <w:top w:w="28" w:type="dxa"/>
          <w:left w:w="28" w:type="dxa"/>
          <w:bottom w:w="28" w:type="dxa"/>
          <w:right w:w="28" w:type="dxa"/>
        </w:tblCellMar>
      </w:tblPr>
      <w:tblGrid>
        <w:gridCol w:w="1905"/>
        <w:gridCol w:w="1677"/>
        <w:gridCol w:w="1682"/>
        <w:gridCol w:w="449"/>
        <w:gridCol w:w="451"/>
        <w:gridCol w:w="154"/>
      </w:tblGrid>
      <w:tr>
        <w:trPr/>
        <w:tc>
          <w:tcPr>
            <w:tcW w:w="1905"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52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Exar Capital, as at December 31, 2024</w:t>
            </w:r>
          </w:p>
        </w:tc>
        <w:tc>
          <w:tcPr>
            <w:tcW w:w="9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380,415 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Repayment of loans and interest by Exar Capital</w:t>
            </w:r>
          </w:p>
        </w:tc>
        <w:tc>
          <w:tcPr>
            <w:tcW w:w="9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(3,920)</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39,939 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Capitalization of loans to investment in Cauchari-Olaroz Project</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(99,422)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Derecognition of existing loans upon extinguishment</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(308,314)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Recognition of new loans at fair value upon restructuring</w:t>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299,635 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Exar Capital, as at December 31, 2025</w:t>
            </w:r>
          </w:p>
        </w:tc>
        <w:tc>
          <w:tcPr>
            <w:tcW w:w="9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308,333 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Acquisition of Exar Capital loans from Ganfeng</w:t>
            </w:r>
          </w:p>
        </w:tc>
        <w:tc>
          <w:tcPr>
            <w:tcW w:w="90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26,005 </w:t>
            </w:r>
          </w:p>
        </w:tc>
        <w:tc>
          <w:tcPr>
            <w:tcW w:w="154"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Repayment of interest by Exar Capital</w:t>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(12,936)</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13,534 </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Exar Capital, as at June 30, 2026</w:t>
            </w:r>
          </w:p>
        </w:tc>
        <w:tc>
          <w:tcPr>
            <w:tcW w:w="90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334,936 </w:t>
            </w:r>
          </w:p>
        </w:tc>
        <w:tc>
          <w:tcPr>
            <w:tcW w:w="154"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loans provided by the Company to Exar Capital are thereafter advanced to Minera Exar to finance the construction of Cauchari-Olaroz, and to support its working capital and other funding requirements.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the amended and restated loan agreements, the loans advanced by the Company to Exar Capital bear interest rates ranging from 8.12% to 8.95% per annum, with revised maturity dates ranging from 2028 to 2035.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February 2026, following loan repayment by Minera Exar, the Company received $61,292 and used a portion of these proceeds to acquire from Ganfeng receivables owing from Exar Capital totaling $26,005.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Exar Capital utilized its existing cash balance to repay a portion of its outstanding interest on loan, amounting to $12,936.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the total outstanding loans to Exar Capital, including accrued interest, amounted to $334,936, with scheduled maturity and interest rates as follows: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03910"/>
                <wp:effectExtent l="0" t="0" r="0" b="0"/>
                <wp:wrapNone/>
                <wp:docPr id="40" name="Frame1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3" descr=""/>
                                                <pic:cNvPicPr>
                                                  <a:picLocks noChangeAspect="1" noChangeArrowheads="1"/>
                                                </pic:cNvPicPr>
                                              </pic:nvPicPr>
                                              <pic:blipFill>
                                                <a:blip r:embed="rId2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3" descr=""/>
                                          <pic:cNvPicPr>
                                            <a:picLocks noChangeAspect="1" noChangeArrowheads="1"/>
                                          </pic:cNvPicPr>
                                        </pic:nvPicPr>
                                        <pic:blipFill>
                                          <a:blip r:embed="rId2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7.LOANS TO EXAR CAPITAL </w:t>
      </w:r>
      <w:r>
        <w:rPr>
          <w:rFonts w:ascii="Arial;sans-serif" w:hAnsi="Arial;sans-serif"/>
          <w:b w:val="false"/>
          <w:i/>
          <w:color w:val="153A57"/>
          <w:sz w:val="20"/>
        </w:rPr>
        <w:t>(continued)</w:t>
      </w:r>
    </w:p>
    <w:tbl>
      <w:tblPr>
        <w:tblW w:w="6177" w:type="dxa"/>
        <w:jc w:val="left"/>
        <w:tblInd w:w="0" w:type="dxa"/>
        <w:tblLayout w:type="fixed"/>
        <w:tblCellMar>
          <w:top w:w="28" w:type="dxa"/>
          <w:left w:w="28" w:type="dxa"/>
          <w:bottom w:w="28" w:type="dxa"/>
          <w:right w:w="28" w:type="dxa"/>
        </w:tblCellMar>
      </w:tblPr>
      <w:tblGrid>
        <w:gridCol w:w="902"/>
        <w:gridCol w:w="792"/>
        <w:gridCol w:w="795"/>
        <w:gridCol w:w="699"/>
        <w:gridCol w:w="699"/>
        <w:gridCol w:w="701"/>
        <w:gridCol w:w="323"/>
        <w:gridCol w:w="323"/>
        <w:gridCol w:w="943"/>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Scheduled Maturities (Year)</w:t>
            </w:r>
          </w:p>
        </w:tc>
        <w:tc>
          <w:tcPr>
            <w:tcW w:w="209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Outstanding amount ($)</w:t>
            </w:r>
          </w:p>
        </w:tc>
        <w:tc>
          <w:tcPr>
            <w:tcW w:w="158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Interest Rate (%)</w:t>
            </w:r>
          </w:p>
        </w:tc>
      </w:tr>
      <w:tr>
        <w:trPr/>
        <w:tc>
          <w:tcPr>
            <w:tcW w:w="248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39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20,977 </w:t>
            </w:r>
          </w:p>
        </w:tc>
        <w:tc>
          <w:tcPr>
            <w:tcW w:w="7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8.12</w:t>
            </w:r>
          </w:p>
        </w:tc>
        <w:tc>
          <w:tcPr>
            <w:tcW w:w="943" w:type="dxa"/>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25,631 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8.47</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2030</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30,759 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2031</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30,912 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8.95</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2032</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40,433 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8.25</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2033</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51,742 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8.36</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2034</w:t>
            </w:r>
          </w:p>
        </w:tc>
        <w:tc>
          <w:tcPr>
            <w:tcW w:w="139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43,308 </w:t>
            </w:r>
          </w:p>
        </w:tc>
        <w:tc>
          <w:tcPr>
            <w:tcW w:w="7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8.48</w:t>
            </w:r>
          </w:p>
        </w:tc>
        <w:tc>
          <w:tcPr>
            <w:tcW w:w="943"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4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2035</w:t>
            </w:r>
          </w:p>
        </w:tc>
        <w:tc>
          <w:tcPr>
            <w:tcW w:w="139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91,173 </w:t>
            </w:r>
          </w:p>
        </w:tc>
        <w:tc>
          <w:tcPr>
            <w:tcW w:w="701"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8.63</w:t>
            </w:r>
          </w:p>
        </w:tc>
        <w:tc>
          <w:tcPr>
            <w:tcW w:w="943" w:type="dxa"/>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recoverability of these loans is dependent on the future cash flows and performance of the Cauchari-Olaroz project. The Company performed an expected credit loss assessment based on the anticipated future performance and cash flow projections of Cauchari-Olaroz. The assessment did not identify any significant increase in credit risk or other factors that would indicate a potential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8.PURCHASES AND SALES OF LITHIUM CARBONATE</w:t>
      </w:r>
    </w:p>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Offtake Agreement with Ganfeng and Bangchak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and Ganfeng are entitled to a share of offtake from production at Cauchari-Olaroz. The Company is entitled to 49% of the offtake, which would amount to approximately 19,600 tonnes per annum (“tpa”) of lithium carbonate assuming full capacity is achieved. The Company has entered into an offtake agreement with each of Ganfeng and BCP Innovation PTE. LTD (“Bangchak”), a wholly-owned subsidiary of Bangchak Corporation Public Company Ltd., to sell a fixed amount of offtake production at market-based prices, with Ganfeng entitled to 80% of the first 12,250 tpa of lithium carbonate (9,800 tpa assuming full production capacity) and Bangchak entitled to up to 6,000 tpa of lithium carbonate (assuming full production capacity).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balance of the Company’s offtake entitlement, amounting to up to approximately 3,800 tpa of lithium carbonate, is uncommitted, but for limited residual rights available to Bangchak to the extent production does not meet full capacity.</w:t>
      </w:r>
    </w:p>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Purchases and sales of lithium carbonate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 purchased its 49% share of Minera Exar’s lithium carbonate shipped during the period.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sold the purchased lithium carbonate to Ganfeng and Bangchak and acted in the capacity of agent in such sales transactions, as the Company’s acquisition of title to lithium carbonate was simultaneous with the sale of lithium carbonate to Ganfeng and Bangchak and the Company was not directly exposed to inventory or price risk related to lithium carbonate.</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made approximately $171,939 worth of purchases of lithium carbonate from Minera Exar and sold an equivalent amount, totaling approximately $171,939, to Ganfeng and Bangchak. Since there was no net commission earned by the Company, there was no impact on the Company’s statement of comprehensive income for six months ended June 30, 2026.</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As at June 30, 2026, the Company had a payable of $54,171 to Minera Exar for lithium carbonate purchases, and receivables totaling $46,109 from Ganfeng for sales of lithium carbonate, as disclosed on the statement of financial position. </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803910"/>
                <wp:effectExtent l="0" t="0" r="0" b="0"/>
                <wp:wrapNone/>
                <wp:docPr id="43" name="Frame1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4" descr=""/>
                                                <pic:cNvPicPr>
                                                  <a:picLocks noChangeAspect="1" noChangeArrowheads="1"/>
                                                </pic:cNvPicPr>
                                              </pic:nvPicPr>
                                              <pic:blipFill>
                                                <a:blip r:embed="rId2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4" descr=""/>
                                          <pic:cNvPicPr>
                                            <a:picLocks noChangeAspect="1" noChangeArrowheads="1"/>
                                          </pic:cNvPicPr>
                                        </pic:nvPicPr>
                                        <pic:blipFill>
                                          <a:blip r:embed="rId2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8.PURCHASES AND SALES OF LITHIUM CARBONATE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performed an expected credit loss assessment for these receivables, and concluded that the expected credit loss was insignificant, given the short-term nature of the balances and the counterparties' history of timely settlement. Majority of these receivables were settled subsequent to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9.PASTOS GRANDES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owns an 85.1% interest in Proyecto Pastos Grandes S.A. (“PGCo”), which holds the Pastos Grandes project in Salta, Argentina. The remaining 14.9% interest in PGCo is held by Ganfeng. As the Company controls PGCo, PGCo is consolidated in the Company’s condensed consolidated interim financial statements. Ganfeng’s 14.9% interest is presented as non-controlling interest.</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Loans to Minera Exar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the third quarter of 2024, PGCo entered into a loan facility with Minera Exar with an aggregate principal of $65,000 to fund debt repayment, working capital, and other operational requirements.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February 9, 2026, Minera Exar fully repaid the loan outstanding to PGCo, including accrued interest, totaling $72,015.</w:t>
      </w:r>
    </w:p>
    <w:tbl>
      <w:tblPr>
        <w:tblW w:w="6589" w:type="dxa"/>
        <w:jc w:val="left"/>
        <w:tblInd w:w="0" w:type="dxa"/>
        <w:tblLayout w:type="fixed"/>
        <w:tblCellMar>
          <w:top w:w="28" w:type="dxa"/>
          <w:left w:w="28" w:type="dxa"/>
          <w:bottom w:w="28" w:type="dxa"/>
          <w:right w:w="28" w:type="dxa"/>
        </w:tblCellMar>
      </w:tblPr>
      <w:tblGrid>
        <w:gridCol w:w="2040"/>
        <w:gridCol w:w="1797"/>
        <w:gridCol w:w="1803"/>
        <w:gridCol w:w="396"/>
        <w:gridCol w:w="399"/>
        <w:gridCol w:w="154"/>
      </w:tblGrid>
      <w:tr>
        <w:trPr/>
        <w:tc>
          <w:tcPr>
            <w:tcW w:w="204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56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advanced by PGCo to Minera Exar, as at December 31, 2024</w:t>
            </w:r>
          </w:p>
        </w:tc>
        <w:tc>
          <w:tcPr>
            <w:tcW w:w="79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67,355 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79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5,892 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Derecognition of existing loans upon extinguishment</w:t>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(72,445)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Recognition of new loans at fair value upon restructuring</w:t>
            </w:r>
          </w:p>
        </w:tc>
        <w:tc>
          <w:tcPr>
            <w:tcW w:w="79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70,735 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Minera Exar, as at December 31, 2025</w:t>
            </w:r>
          </w:p>
        </w:tc>
        <w:tc>
          <w:tcPr>
            <w:tcW w:w="795"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71,537 </w:t>
            </w:r>
          </w:p>
        </w:tc>
        <w:tc>
          <w:tcPr>
            <w:tcW w:w="154"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795"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154"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Repayment of loan principal</w:t>
            </w:r>
          </w:p>
        </w:tc>
        <w:tc>
          <w:tcPr>
            <w:tcW w:w="795"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(65,000)</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Repayment of accrued interest</w:t>
            </w:r>
          </w:p>
        </w:tc>
        <w:tc>
          <w:tcPr>
            <w:tcW w:w="795"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(7,015)</w:t>
            </w:r>
          </w:p>
        </w:tc>
        <w:tc>
          <w:tcPr>
            <w:tcW w:w="154"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Loans to Minera Exar, as at June 30, 2026</w:t>
            </w:r>
          </w:p>
        </w:tc>
        <w:tc>
          <w:tcPr>
            <w:tcW w:w="795"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54"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2025 Share Premium Reduction and Shareholder Distribution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fourth quarter of 2025, PGCo executed a share premium reduction and related distribution to its shareholders.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shareholder distribution payable was denominated in Argentine pesos and indexed for inflation until settlement. At December 31, 2025, the total payable at the PGCo level attributable to Ganfeng for its non-controlling interest in PGCo was $12,859.</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2026 Amendment to PGCo Share Premium Reduction and Shareholder Distribution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March 2026, the Board and shareholders of PGCo approved an amendment to the previously approved share premium distribution. On March 12, 2026, the shareholder distribution payable was novated from an Argentine peso, inflation-indexed liability into a fixed U.S. dollar liability of $80,031, with no further inflation indexation after October 22, 2025.</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first quarter of 2026, PGCo settled the shareholder distribution payable to Ganfeng through a combination of cash payment of $10,723 and capitalization of $1,194 as a contribution to PGCo. Following the amendment and settlement, the shareholder distribution payable to Ganfeng was fully extinguished.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03910"/>
                <wp:effectExtent l="0" t="0" r="0" b="0"/>
                <wp:wrapNone/>
                <wp:docPr id="46" name="Frame1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5" descr=""/>
                                                <pic:cNvPicPr>
                                                  <a:picLocks noChangeAspect="1" noChangeArrowheads="1"/>
                                                </pic:cNvPicPr>
                                              </pic:nvPicPr>
                                              <pic:blipFill>
                                                <a:blip r:embed="rId29"/>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4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5" descr=""/>
                                          <pic:cNvPicPr>
                                            <a:picLocks noChangeAspect="1" noChangeArrowheads="1"/>
                                          </pic:cNvPicPr>
                                        </pic:nvPicPr>
                                        <pic:blipFill>
                                          <a:blip r:embed="rId30"/>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10.PROPERTY, PLANT AND EQUIPMENT</w:t>
      </w:r>
    </w:p>
    <w:tbl>
      <w:tblPr>
        <w:tblW w:w="6321" w:type="dxa"/>
        <w:jc w:val="left"/>
        <w:tblInd w:w="0" w:type="dxa"/>
        <w:tblLayout w:type="fixed"/>
        <w:tblCellMar>
          <w:top w:w="28" w:type="dxa"/>
          <w:left w:w="28" w:type="dxa"/>
          <w:bottom w:w="28" w:type="dxa"/>
          <w:right w:w="28" w:type="dxa"/>
        </w:tblCellMar>
      </w:tblPr>
      <w:tblGrid>
        <w:gridCol w:w="790"/>
        <w:gridCol w:w="693"/>
        <w:gridCol w:w="707"/>
        <w:gridCol w:w="315"/>
        <w:gridCol w:w="316"/>
        <w:gridCol w:w="301"/>
        <w:gridCol w:w="459"/>
        <w:gridCol w:w="459"/>
        <w:gridCol w:w="461"/>
        <w:gridCol w:w="315"/>
        <w:gridCol w:w="316"/>
        <w:gridCol w:w="216"/>
        <w:gridCol w:w="367"/>
        <w:gridCol w:w="369"/>
        <w:gridCol w:w="237"/>
      </w:tblGrid>
      <w:tr>
        <w:trPr/>
        <w:tc>
          <w:tcPr>
            <w:tcW w:w="790"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Buildings</w:t>
            </w:r>
          </w:p>
        </w:tc>
        <w:tc>
          <w:tcPr>
            <w:tcW w:w="137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Equipment</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and machinery</w:t>
            </w:r>
          </w:p>
        </w:tc>
        <w:tc>
          <w:tcPr>
            <w:tcW w:w="847"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18"/>
              </w:rPr>
              <w:t>Other</w:t>
            </w:r>
            <w:r>
              <w:rPr>
                <w:rFonts w:ascii="Arial;sans-serif" w:hAnsi="Arial;sans-serif"/>
                <w:b/>
                <w:color w:val="000000"/>
                <w:sz w:val="12"/>
              </w:rPr>
              <w:t>1</w:t>
            </w:r>
          </w:p>
        </w:tc>
        <w:tc>
          <w:tcPr>
            <w:tcW w:w="97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97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Cost</w:t>
            </w:r>
          </w:p>
        </w:tc>
        <w:tc>
          <w:tcPr>
            <w:tcW w:w="9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2024</w:t>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5,863 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2,716 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11,645 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Disposals</w:t>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5,863 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2,716 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3,252 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11,831 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 at June 30, 2026</w:t>
            </w:r>
          </w:p>
        </w:tc>
        <w:tc>
          <w:tcPr>
            <w:tcW w:w="631"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5,863</w:t>
            </w:r>
            <w:r>
              <w:rPr>
                <w:color w:val="000000"/>
              </w:rPr>
              <w:t> </w:t>
            </w:r>
          </w:p>
        </w:tc>
        <w:tc>
          <w:tcPr>
            <w:tcW w:w="30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2,716</w:t>
            </w:r>
            <w:r>
              <w:rPr>
                <w:color w:val="000000"/>
              </w:rPr>
              <w:t> </w:t>
            </w:r>
          </w:p>
        </w:tc>
        <w:tc>
          <w:tcPr>
            <w:tcW w:w="46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3,252</w:t>
            </w:r>
            <w:r>
              <w:rPr>
                <w:color w:val="000000"/>
              </w:rPr>
              <w:t> </w:t>
            </w:r>
          </w:p>
        </w:tc>
        <w:tc>
          <w:tcPr>
            <w:tcW w:w="21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11,831</w:t>
            </w:r>
            <w:r>
              <w:rPr>
                <w:color w:val="000000"/>
              </w:rPr>
              <w:t> </w:t>
            </w:r>
          </w:p>
        </w:tc>
        <w:tc>
          <w:tcPr>
            <w:tcW w:w="23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364" w:type="dxa"/>
        <w:jc w:val="left"/>
        <w:tblInd w:w="0" w:type="dxa"/>
        <w:tblLayout w:type="fixed"/>
        <w:tblCellMar>
          <w:top w:w="28" w:type="dxa"/>
          <w:left w:w="28" w:type="dxa"/>
          <w:bottom w:w="28" w:type="dxa"/>
          <w:right w:w="28" w:type="dxa"/>
        </w:tblCellMar>
      </w:tblPr>
      <w:tblGrid>
        <w:gridCol w:w="859"/>
        <w:gridCol w:w="753"/>
        <w:gridCol w:w="757"/>
        <w:gridCol w:w="300"/>
        <w:gridCol w:w="300"/>
        <w:gridCol w:w="301"/>
        <w:gridCol w:w="459"/>
        <w:gridCol w:w="459"/>
        <w:gridCol w:w="461"/>
        <w:gridCol w:w="315"/>
        <w:gridCol w:w="316"/>
        <w:gridCol w:w="216"/>
        <w:gridCol w:w="315"/>
        <w:gridCol w:w="316"/>
        <w:gridCol w:w="237"/>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Buildings</w:t>
            </w:r>
          </w:p>
        </w:tc>
        <w:tc>
          <w:tcPr>
            <w:tcW w:w="137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Equipment</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and machinery</w:t>
            </w:r>
          </w:p>
        </w:tc>
        <w:tc>
          <w:tcPr>
            <w:tcW w:w="847"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18"/>
              </w:rPr>
              <w:t>Other</w:t>
            </w:r>
            <w:r>
              <w:rPr>
                <w:rFonts w:ascii="Arial;sans-serif" w:hAnsi="Arial;sans-serif"/>
                <w:b/>
                <w:color w:val="000000"/>
                <w:sz w:val="12"/>
              </w:rPr>
              <w:t>1</w:t>
            </w:r>
          </w:p>
        </w:tc>
        <w:tc>
          <w:tcPr>
            <w:tcW w:w="868"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Accumulated depreciation</w:t>
            </w:r>
          </w:p>
        </w:tc>
        <w:tc>
          <w:tcPr>
            <w:tcW w:w="9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2024</w:t>
            </w:r>
          </w:p>
        </w:tc>
        <w:tc>
          <w:tcPr>
            <w:tcW w:w="6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2,064 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2,657 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for the period</w:t>
            </w:r>
          </w:p>
        </w:tc>
        <w:tc>
          <w:tcPr>
            <w:tcW w:w="6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489 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Disposals</w:t>
            </w:r>
          </w:p>
        </w:tc>
        <w:tc>
          <w:tcPr>
            <w:tcW w:w="6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60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187 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1,785 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2,457 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 for the period</w:t>
            </w:r>
          </w:p>
        </w:tc>
        <w:tc>
          <w:tcPr>
            <w:tcW w:w="60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30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46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21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23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 at June 30, 2026</w:t>
            </w:r>
          </w:p>
        </w:tc>
        <w:tc>
          <w:tcPr>
            <w:tcW w:w="60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513</w:t>
            </w:r>
            <w:r>
              <w:rPr>
                <w:color w:val="000000"/>
              </w:rPr>
              <w:t> </w:t>
            </w:r>
          </w:p>
        </w:tc>
        <w:tc>
          <w:tcPr>
            <w:tcW w:w="30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197</w:t>
            </w:r>
            <w:r>
              <w:rPr>
                <w:color w:val="000000"/>
              </w:rPr>
              <w:t> </w:t>
            </w:r>
          </w:p>
        </w:tc>
        <w:tc>
          <w:tcPr>
            <w:tcW w:w="46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1,984</w:t>
            </w:r>
            <w:r>
              <w:rPr>
                <w:color w:val="000000"/>
              </w:rPr>
              <w:t> </w:t>
            </w:r>
          </w:p>
        </w:tc>
        <w:tc>
          <w:tcPr>
            <w:tcW w:w="21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2,694</w:t>
            </w:r>
            <w:r>
              <w:rPr>
                <w:color w:val="000000"/>
              </w:rPr>
              <w:t> </w:t>
            </w:r>
          </w:p>
        </w:tc>
        <w:tc>
          <w:tcPr>
            <w:tcW w:w="23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216" w:type="dxa"/>
        <w:jc w:val="left"/>
        <w:tblInd w:w="0" w:type="dxa"/>
        <w:tblLayout w:type="fixed"/>
        <w:tblCellMar>
          <w:top w:w="28" w:type="dxa"/>
          <w:left w:w="28" w:type="dxa"/>
          <w:bottom w:w="28" w:type="dxa"/>
          <w:right w:w="28" w:type="dxa"/>
        </w:tblCellMar>
      </w:tblPr>
      <w:tblGrid>
        <w:gridCol w:w="793"/>
        <w:gridCol w:w="695"/>
        <w:gridCol w:w="702"/>
        <w:gridCol w:w="315"/>
        <w:gridCol w:w="316"/>
        <w:gridCol w:w="301"/>
        <w:gridCol w:w="459"/>
        <w:gridCol w:w="459"/>
        <w:gridCol w:w="461"/>
        <w:gridCol w:w="315"/>
        <w:gridCol w:w="316"/>
        <w:gridCol w:w="216"/>
        <w:gridCol w:w="315"/>
        <w:gridCol w:w="316"/>
        <w:gridCol w:w="237"/>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Buildings</w:t>
            </w:r>
          </w:p>
        </w:tc>
        <w:tc>
          <w:tcPr>
            <w:tcW w:w="137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Equipment</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and machinery</w:t>
            </w:r>
          </w:p>
        </w:tc>
        <w:tc>
          <w:tcPr>
            <w:tcW w:w="847"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18"/>
              </w:rPr>
              <w:t>Other</w:t>
            </w:r>
            <w:r>
              <w:rPr>
                <w:rFonts w:ascii="Arial;sans-serif" w:hAnsi="Arial;sans-serif"/>
                <w:b/>
                <w:color w:val="000000"/>
                <w:sz w:val="12"/>
              </w:rPr>
              <w:t>1</w:t>
            </w:r>
          </w:p>
        </w:tc>
        <w:tc>
          <w:tcPr>
            <w:tcW w:w="868"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7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4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68"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Net book value</w:t>
            </w:r>
          </w:p>
        </w:tc>
        <w:tc>
          <w:tcPr>
            <w:tcW w:w="93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5,378 </w:t>
            </w:r>
          </w:p>
        </w:tc>
        <w:tc>
          <w:tcPr>
            <w:tcW w:w="30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2,529 </w:t>
            </w:r>
          </w:p>
        </w:tc>
        <w:tc>
          <w:tcPr>
            <w:tcW w:w="46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1,467 </w:t>
            </w:r>
          </w:p>
        </w:tc>
        <w:tc>
          <w:tcPr>
            <w:tcW w:w="21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bottom w:val="single" w:sz="4" w:space="0" w:color="000000"/>
            </w:tcBorders>
            <w:shd w:fill="DDDDDD"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As at June 30, 2026</w:t>
            </w:r>
          </w:p>
        </w:tc>
        <w:tc>
          <w:tcPr>
            <w:tcW w:w="631" w:type="dxa"/>
            <w:gridSpan w:val="2"/>
            <w:tcBorders>
              <w:bottom w:val="single" w:sz="4" w:space="0" w:color="000000"/>
            </w:tcBorders>
            <w:shd w:fill="DDDDDD" w:val="clear"/>
            <w:tcMar>
              <w:top w:w="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5,350</w:t>
            </w:r>
            <w:r>
              <w:rPr>
                <w:color w:val="000000"/>
              </w:rPr>
              <w:t> </w:t>
            </w:r>
          </w:p>
        </w:tc>
        <w:tc>
          <w:tcPr>
            <w:tcW w:w="301" w:type="dxa"/>
            <w:tcBorders>
              <w:bottom w:val="single" w:sz="4" w:space="0" w:color="000000"/>
            </w:tcBorders>
            <w:shd w:fill="DDDDD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bottom w:val="single" w:sz="4" w:space="0" w:color="000000"/>
            </w:tcBorders>
            <w:shd w:fill="DDDDDD" w:val="clear"/>
            <w:tcMar>
              <w:top w:w="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2,519</w:t>
            </w:r>
            <w:r>
              <w:rPr>
                <w:color w:val="000000"/>
              </w:rPr>
              <w:t> </w:t>
            </w:r>
          </w:p>
        </w:tc>
        <w:tc>
          <w:tcPr>
            <w:tcW w:w="461" w:type="dxa"/>
            <w:tcBorders>
              <w:bottom w:val="single" w:sz="4" w:space="0" w:color="000000"/>
            </w:tcBorders>
            <w:shd w:fill="DDDDD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shd w:fill="DDDDDD" w:val="clear"/>
            <w:tcMar>
              <w:top w:w="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1,268</w:t>
            </w:r>
            <w:r>
              <w:rPr>
                <w:color w:val="000000"/>
              </w:rPr>
              <w:t> </w:t>
            </w:r>
          </w:p>
        </w:tc>
        <w:tc>
          <w:tcPr>
            <w:tcW w:w="216" w:type="dxa"/>
            <w:tcBorders>
              <w:bottom w:val="single" w:sz="4" w:space="0" w:color="000000"/>
            </w:tcBorders>
            <w:shd w:fill="DDDDD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shd w:fill="DDDDDD" w:val="clear"/>
            <w:tcMar>
              <w:top w:w="0" w:type="dxa"/>
              <w:left w:w="0" w:type="dxa"/>
              <w:bottom w:w="30" w:type="dxa"/>
              <w:right w:w="0" w:type="dxa"/>
            </w:tcMar>
            <w:vAlign w:val="center"/>
          </w:tcPr>
          <w:p>
            <w:pPr>
              <w:pStyle w:val="TableContents"/>
              <w:bidi w:val="0"/>
              <w:spacing w:lineRule="auto" w:line="273" w:before="0" w:after="283"/>
              <w:jc w:val="right"/>
              <w:rPr/>
            </w:pPr>
            <w:r>
              <w:rPr>
                <w:rFonts w:ascii="Arial;sans-serif" w:hAnsi="Arial;sans-serif"/>
                <w:b/>
                <w:color w:val="000000"/>
                <w:sz w:val="18"/>
              </w:rPr>
              <w:t>9,137</w:t>
            </w:r>
            <w:r>
              <w:rPr>
                <w:color w:val="000000"/>
              </w:rPr>
              <w:t> </w:t>
            </w:r>
          </w:p>
        </w:tc>
        <w:tc>
          <w:tcPr>
            <w:tcW w:w="237" w:type="dxa"/>
            <w:tcBorders>
              <w:bottom w:val="single" w:sz="4" w:space="0" w:color="000000"/>
            </w:tcBorders>
            <w:shd w:fill="DDDDDD"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90"/>
        <w:jc w:val="both"/>
        <w:rPr/>
      </w:pPr>
      <w:r>
        <w:rPr>
          <w:rFonts w:ascii="Arial;sans-serif" w:hAnsi="Arial;sans-serif"/>
          <w:b w:val="false"/>
          <w:color w:val="000000"/>
          <w:sz w:val="10"/>
        </w:rPr>
        <w:t>1</w:t>
      </w:r>
      <w:r>
        <w:rPr>
          <w:rFonts w:ascii="Arial;sans-serif" w:hAnsi="Arial;sans-serif"/>
          <w:b w:val="false"/>
          <w:color w:val="000000"/>
          <w:sz w:val="16"/>
        </w:rPr>
        <w:t>The “Other” category includes right of use assets with a cost of $1,373 and $762 of accumulated depreciation as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803910"/>
                <wp:effectExtent l="0" t="0" r="0" b="0"/>
                <wp:wrapNone/>
                <wp:docPr id="49" name="Frame2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6" descr=""/>
                                                <pic:cNvPicPr>
                                                  <a:picLocks noChangeAspect="1" noChangeArrowheads="1"/>
                                                </pic:cNvPicPr>
                                              </pic:nvPicPr>
                                              <pic:blipFill>
                                                <a:blip r:embed="rId31"/>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6" descr=""/>
                                          <pic:cNvPicPr>
                                            <a:picLocks noChangeAspect="1" noChangeArrowheads="1"/>
                                          </pic:cNvPicPr>
                                        </pic:nvPicPr>
                                        <pic:blipFill>
                                          <a:blip r:embed="rId32"/>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11.EXPLORATION AND EVALUATION ASSETS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Exploration and evaluation assets were as follows:</w:t>
      </w:r>
    </w:p>
    <w:tbl>
      <w:tblPr>
        <w:tblW w:w="7420" w:type="dxa"/>
        <w:jc w:val="left"/>
        <w:tblInd w:w="0" w:type="dxa"/>
        <w:tblLayout w:type="fixed"/>
        <w:tblCellMar>
          <w:top w:w="28" w:type="dxa"/>
          <w:left w:w="28" w:type="dxa"/>
          <w:bottom w:w="28" w:type="dxa"/>
          <w:right w:w="28" w:type="dxa"/>
        </w:tblCellMar>
      </w:tblPr>
      <w:tblGrid>
        <w:gridCol w:w="1253"/>
        <w:gridCol w:w="1102"/>
        <w:gridCol w:w="1109"/>
        <w:gridCol w:w="554"/>
        <w:gridCol w:w="554"/>
        <w:gridCol w:w="556"/>
        <w:gridCol w:w="409"/>
        <w:gridCol w:w="409"/>
        <w:gridCol w:w="411"/>
        <w:gridCol w:w="413"/>
        <w:gridCol w:w="413"/>
        <w:gridCol w:w="237"/>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Millennial Projects</w:t>
            </w:r>
          </w:p>
        </w:tc>
        <w:tc>
          <w:tcPr>
            <w:tcW w:w="122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Other Claims</w:t>
            </w:r>
          </w:p>
        </w:tc>
        <w:tc>
          <w:tcPr>
            <w:tcW w:w="106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22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06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34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Total exploration and evaluation assets</w:t>
            </w:r>
          </w:p>
        </w:tc>
        <w:tc>
          <w:tcPr>
            <w:tcW w:w="16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2024</w:t>
            </w:r>
          </w:p>
        </w:tc>
        <w:tc>
          <w:tcPr>
            <w:tcW w:w="11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342,409 </w:t>
            </w:r>
          </w:p>
        </w:tc>
        <w:tc>
          <w:tcPr>
            <w:tcW w:w="5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41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343,794 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Disposals</w:t>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(3,009)</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(3,009)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11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339,629 </w:t>
            </w:r>
          </w:p>
        </w:tc>
        <w:tc>
          <w:tcPr>
            <w:tcW w:w="5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41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341,014 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Additions</w:t>
            </w:r>
          </w:p>
        </w:tc>
        <w:tc>
          <w:tcPr>
            <w:tcW w:w="110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55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1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3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June 30, 2026</w:t>
            </w:r>
          </w:p>
        </w:tc>
        <w:tc>
          <w:tcPr>
            <w:tcW w:w="110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339,635 </w:t>
            </w:r>
          </w:p>
        </w:tc>
        <w:tc>
          <w:tcPr>
            <w:tcW w:w="55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1,385 </w:t>
            </w:r>
          </w:p>
        </w:tc>
        <w:tc>
          <w:tcPr>
            <w:tcW w:w="41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341,020 </w:t>
            </w:r>
          </w:p>
        </w:tc>
        <w:tc>
          <w:tcPr>
            <w:tcW w:w="23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certain commitments for royalty and other payments to be made for Pastos Grandes as set out below. These amounts will only be payable if the Company continues to hold the subject claims in the future and the royalties will only be incurred if the Company starts production from the project.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Pastos Grandes:</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1.5% royalty on the gross operating revenues from production from certain Pastos Grandes claims, payable to the original vendors of the project; and</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 xml:space="preserve">royalties to a maximum of 3% over net-back income, payable to the Salta Province.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12.EQUITY-SETTLEABLE CONVERTIBLE NOTES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December 6, 2021, the Company closed an offering (the “Offering”) of $225,000 aggregate principal amount of 1.75% Convertible Notes due in 2027 (the “Convertible Notes”, “Notes”, or “equity-settleable convertible notes”). On December 9, 2021, the initial purchasers under the Offering exercised in full their option to purchase up to an additional $33,750 aggregate principal amount of the Convertible Notes, increasing the total Offering size to $258,750.</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represent financial instruments that include a debt host accounted for at amortized cost and conversion option and redemption option derivatives, which are separated from the debt host and accounted for at fair value with changes in fair value recorded in the statement of comprehensive loss. These derivatives are accounted for together as a single derivative when separated from the debt host.</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03910"/>
                <wp:effectExtent l="0" t="0" r="0" b="0"/>
                <wp:wrapNone/>
                <wp:docPr id="52" name="Frame2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7" descr=""/>
                                                <pic:cNvPicPr>
                                                  <a:picLocks noChangeAspect="1" noChangeArrowheads="1"/>
                                                </pic:cNvPicPr>
                                              </pic:nvPicPr>
                                              <pic:blipFill>
                                                <a:blip r:embed="rId3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4"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7" descr=""/>
                                          <pic:cNvPicPr>
                                            <a:picLocks noChangeAspect="1" noChangeArrowheads="1"/>
                                          </pic:cNvPicPr>
                                        </pic:nvPicPr>
                                        <pic:blipFill>
                                          <a:blip r:embed="rId3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630"/>
        <w:jc w:val="left"/>
        <w:rPr/>
      </w:pPr>
      <w:r>
        <w:rPr>
          <w:rFonts w:ascii="Arial;sans-serif" w:hAnsi="Arial;sans-serif"/>
          <w:b/>
          <w:color w:val="153A57"/>
          <w:sz w:val="20"/>
        </w:rPr>
        <w:t xml:space="preserve">12.EQUITY-SETTLEABLE CONVERTIBLE NOTES </w:t>
      </w:r>
      <w:r>
        <w:rPr>
          <w:rFonts w:ascii="Arial;sans-serif" w:hAnsi="Arial;sans-serif"/>
          <w:b w:val="false"/>
          <w:i/>
          <w:color w:val="153A57"/>
          <w:sz w:val="20"/>
        </w:rPr>
        <w:t>(continued)</w:t>
      </w:r>
    </w:p>
    <w:tbl>
      <w:tblPr>
        <w:tblW w:w="10119" w:type="dxa"/>
        <w:jc w:val="left"/>
        <w:tblInd w:w="0" w:type="dxa"/>
        <w:tblLayout w:type="fixed"/>
        <w:tblCellMar>
          <w:top w:w="28" w:type="dxa"/>
          <w:left w:w="28" w:type="dxa"/>
          <w:bottom w:w="28" w:type="dxa"/>
          <w:right w:w="28" w:type="dxa"/>
        </w:tblCellMar>
      </w:tblPr>
      <w:tblGrid>
        <w:gridCol w:w="1992"/>
        <w:gridCol w:w="1755"/>
        <w:gridCol w:w="1758"/>
        <w:gridCol w:w="413"/>
        <w:gridCol w:w="413"/>
        <w:gridCol w:w="311"/>
        <w:gridCol w:w="804"/>
        <w:gridCol w:w="804"/>
        <w:gridCol w:w="806"/>
        <w:gridCol w:w="413"/>
        <w:gridCol w:w="413"/>
        <w:gridCol w:w="237"/>
      </w:tblGrid>
      <w:tr>
        <w:trPr/>
        <w:tc>
          <w:tcPr>
            <w:tcW w:w="1992"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Debt host</w:t>
            </w:r>
          </w:p>
        </w:tc>
        <w:tc>
          <w:tcPr>
            <w:tcW w:w="241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Convertible note derivative</w:t>
            </w:r>
          </w:p>
        </w:tc>
        <w:tc>
          <w:tcPr>
            <w:tcW w:w="106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241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06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55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Convertible notes</w:t>
            </w:r>
          </w:p>
        </w:tc>
        <w:tc>
          <w:tcPr>
            <w:tcW w:w="113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2024</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207,829 </w:t>
            </w:r>
          </w:p>
        </w:tc>
        <w:tc>
          <w:tcPr>
            <w:tcW w:w="31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80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208,437 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on change in fair value of convertible notes derivative</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2,416 </w:t>
            </w:r>
          </w:p>
        </w:tc>
        <w:tc>
          <w:tcPr>
            <w:tcW w:w="80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2,416 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27,837 </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27,837 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payment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(2,454)</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(2,454)</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Reclassification of short-term accrued interest to short-term liability</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(2,075)</w:t>
            </w:r>
          </w:p>
        </w:tc>
        <w:tc>
          <w:tcPr>
            <w:tcW w:w="3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(2,075)</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231,137 </w:t>
            </w:r>
          </w:p>
        </w:tc>
        <w:tc>
          <w:tcPr>
            <w:tcW w:w="31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3,024 </w:t>
            </w:r>
          </w:p>
        </w:tc>
        <w:tc>
          <w:tcPr>
            <w:tcW w:w="80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234,161 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 on change in fair value of convertible notes derivative</w:t>
            </w:r>
          </w:p>
        </w:tc>
        <w:tc>
          <w:tcPr>
            <w:tcW w:w="82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1"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806"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1,814 </w:t>
            </w:r>
          </w:p>
        </w:tc>
        <w:tc>
          <w:tcPr>
            <w:tcW w:w="237"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Accrued Interest</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14,944 </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14,944 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payment</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(188)</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Reclassification of short-term accrued interest to short-term liability</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(2,075)</w:t>
            </w:r>
          </w:p>
        </w:tc>
        <w:tc>
          <w:tcPr>
            <w:tcW w:w="311"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80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(2,075)</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June 30, 2026</w:t>
            </w:r>
          </w:p>
        </w:tc>
        <w:tc>
          <w:tcPr>
            <w:tcW w:w="82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243,818 </w:t>
            </w:r>
          </w:p>
        </w:tc>
        <w:tc>
          <w:tcPr>
            <w:tcW w:w="31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4,838 </w:t>
            </w:r>
          </w:p>
        </w:tc>
        <w:tc>
          <w:tcPr>
            <w:tcW w:w="806"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248,656 </w:t>
            </w:r>
          </w:p>
        </w:tc>
        <w:tc>
          <w:tcPr>
            <w:tcW w:w="237"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fair value of the derivative as at June 30, 2026, was estimated using a partial differential equation method with Monte Carlo simulation. The significant inputs used in the valuation were as follows:</w:t>
      </w:r>
    </w:p>
    <w:tbl>
      <w:tblPr>
        <w:tblW w:w="3256" w:type="dxa"/>
        <w:jc w:val="left"/>
        <w:tblInd w:w="0" w:type="dxa"/>
        <w:tblLayout w:type="fixed"/>
        <w:tblCellMar>
          <w:top w:w="28" w:type="dxa"/>
          <w:left w:w="28" w:type="dxa"/>
          <w:bottom w:w="28" w:type="dxa"/>
          <w:right w:w="28" w:type="dxa"/>
        </w:tblCellMar>
      </w:tblPr>
      <w:tblGrid>
        <w:gridCol w:w="750"/>
        <w:gridCol w:w="658"/>
        <w:gridCol w:w="662"/>
        <w:gridCol w:w="242"/>
        <w:gridCol w:w="242"/>
        <w:gridCol w:w="702"/>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Valuation input</w:t>
            </w:r>
          </w:p>
        </w:tc>
        <w:tc>
          <w:tcPr>
            <w:tcW w:w="1186"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Assumption</w:t>
            </w:r>
          </w:p>
        </w:tc>
      </w:tr>
      <w:tr>
        <w:trPr/>
        <w:tc>
          <w:tcPr>
            <w:tcW w:w="20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price</w:t>
            </w:r>
          </w:p>
        </w:tc>
        <w:tc>
          <w:tcPr>
            <w:tcW w:w="118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$8.27</w:t>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Volatility</w:t>
            </w:r>
          </w:p>
        </w:tc>
        <w:tc>
          <w:tcPr>
            <w:tcW w:w="4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702"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Risk-free interest rate</w:t>
            </w:r>
          </w:p>
        </w:tc>
        <w:tc>
          <w:tcPr>
            <w:tcW w:w="4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4.01</w:t>
            </w:r>
          </w:p>
        </w:tc>
        <w:tc>
          <w:tcPr>
            <w:tcW w:w="702"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Expected dividend yield</w:t>
            </w:r>
          </w:p>
        </w:tc>
        <w:tc>
          <w:tcPr>
            <w:tcW w:w="484"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w:t>
            </w:r>
          </w:p>
        </w:tc>
        <w:tc>
          <w:tcPr>
            <w:tcW w:w="702"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0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Credit spread</w:t>
            </w:r>
          </w:p>
        </w:tc>
        <w:tc>
          <w:tcPr>
            <w:tcW w:w="484"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4.53</w:t>
            </w:r>
          </w:p>
        </w:tc>
        <w:tc>
          <w:tcPr>
            <w:tcW w:w="702" w:type="dxa"/>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valuation of the embedded derivative is highly sensitive to changes in the Company’s share price and to the assumed volatility of the Company’s share price. A loss on change in fair value for the six months ended June 30, 2026, of $1,814 (2025 – gain of $536) was recognized in the consolidated statement of comprehensive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Interest expense for the six months ended June 30, 2026, of $14,944 (2025 – $13,436) was recognized as finance costs in the consolidated statement of comprehensive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are convertible at the option of the holders upon satisfaction of certain conditions that are beyond the control of the Company. If such conditions are satisfied, the Convertible Notes would be convertible at the option of the holders and upon conversion, the Notes may be settled, at the Company’s election, in common shares of the Company, cash or a combination thereof. As a result, the Company does not have the right to defer settlement of the Convertible Notes for more than 12 months after the end of the reporting periods and presents the Convertible Notes within its current liabilities.</w:t>
      </w:r>
    </w:p>
    <w:p>
      <w:pPr>
        <w:pStyle w:val="TextBody"/>
        <w:bidi w:val="0"/>
        <w:spacing w:lineRule="auto" w:line="288" w:before="0" w:after="200"/>
        <w:jc w:val="both"/>
        <w:rPr/>
      </w:pPr>
      <w:r>
        <w:rPr>
          <w:rFonts w:ascii="Arial;sans-serif" w:hAnsi="Arial;sans-serif"/>
          <w:b w:val="false"/>
          <w:color w:val="000000"/>
          <w:sz w:val="20"/>
        </w:rPr>
        <w:t>The Convertible Notes are unsecured and accrue interest payable semi-annually in arrears at a rate of 1.75% per annum payable on January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and July 15</w:t>
      </w:r>
      <w:r>
        <w:rPr>
          <w:rFonts w:ascii="Arial;sans-serif" w:hAnsi="Arial;sans-serif"/>
          <w:b w:val="false"/>
          <w:color w:val="000000"/>
          <w:sz w:val="13"/>
        </w:rPr>
        <w:t>th</w:t>
      </w:r>
      <w:r>
        <w:rPr>
          <w:color w:val="000000"/>
        </w:rPr>
        <w:t xml:space="preserve"> </w:t>
      </w:r>
      <w:r>
        <w:rPr>
          <w:rFonts w:ascii="Arial;sans-serif" w:hAnsi="Arial;sans-serif"/>
          <w:b w:val="false"/>
          <w:color w:val="000000"/>
          <w:sz w:val="20"/>
        </w:rPr>
        <w:t>of each year, beginning on July 15, 2022. Prior to October 15, 2026, the Notes are convertible at the option of the holders during certain periods, upon the satisfaction of certain conditions including:</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(i)If the Notes’ trading price for any five consecutive trading day period was, on each day, less than 98% of the conversion value of such Notes;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03910"/>
                <wp:effectExtent l="0" t="0" r="0" b="0"/>
                <wp:wrapNone/>
                <wp:docPr id="55" name="Frame2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8" descr=""/>
                                                <pic:cNvPicPr>
                                                  <a:picLocks noChangeAspect="1" noChangeArrowheads="1"/>
                                                </pic:cNvPicPr>
                                              </pic:nvPicPr>
                                              <pic:blipFill>
                                                <a:blip r:embed="rId3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8" descr=""/>
                                          <pic:cNvPicPr>
                                            <a:picLocks noChangeAspect="1" noChangeArrowheads="1"/>
                                          </pic:cNvPicPr>
                                        </pic:nvPicPr>
                                        <pic:blipFill>
                                          <a:blip r:embed="rId3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630"/>
        <w:jc w:val="left"/>
        <w:rPr/>
      </w:pPr>
      <w:r>
        <w:rPr>
          <w:rFonts w:ascii="Arial;sans-serif" w:hAnsi="Arial;sans-serif"/>
          <w:b/>
          <w:color w:val="153A57"/>
          <w:sz w:val="20"/>
        </w:rPr>
        <w:t xml:space="preserve">12.EQUITY-SETTLEABLE CONVERTIBLE NOTES </w:t>
      </w:r>
      <w:r>
        <w:rPr>
          <w:rFonts w:ascii="Arial;sans-serif" w:hAnsi="Arial;sans-serif"/>
          <w:b w:val="false"/>
          <w:i/>
          <w:color w:val="153A57"/>
          <w:sz w:val="20"/>
        </w:rPr>
        <w:t>(continued)</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(ii)if the Company elects to (a) issue equity instruments to all holders of the Company’s common shares entitling them, for a period of not more than 45 calendar days after issue, to subscribe for or purchase common shares at a price per share that is less than the average reported sales prices of the common shares for the 10-trading day period ending the trading day before the announcement of such issuance of equity instruments; or (b) make a distribution to all holders of the Company’s common shares, whether such distribution is of assets, securities, or rights to purchase the Company’s securities, and has a per share value exceeding at least 10% of the trading price of the common shares on the date immediately preceding the announcement date of such distribution;</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(iii)upon the occurrence of certain significant business events;</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(iv)if, at any time after the calendar quarter ending on March 31, 2022 (and only during such calendar quarter), the last reported price of the Company’s common shares for at least 20 trading days (whether or not consecutive) during the last period of 30 trading days of the immediately preceding calendar quarter is greater than or equal to 130% of the conversion price on each applicable trading day (this has not occurred during the six months ended June 30, 2026); or,</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(v)upon a call for redemption by the Company, or upon the Company’s failure to pay the redemption price therefor.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Thereafter, the Convertible Notes will be convertible at any time until the close of business on the business day immediately preceding the maturity date. Upon conversion, the Convertible Notes may be settled, at the Company’s election, in common shares of the Company, cash or a combination thereof.</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mature on January 15, 2027, unless earlier repurchased, redeemed or converted. The Company may not redeem the Convertible Notes prior to December 6, 2024, except upon the occurrence of certain changes to the laws governing Canadian withholding taxes. After December 6, 2024, the Company has the right to redeem the Convertible Notes at its option in certain circumstances including:</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(i)on or after December 6, 2024, if the Company’s share price for at least 20 trading days during any 30 consecutive trading day period ending on, and including, the last trading day of the immediately preceding calendar quarter is over 130% of the conversion price on each applicable trading day, at a redemption price equal to 100% of the principal plus accrued and unpaid interest; and</w:t>
      </w:r>
    </w:p>
    <w:p>
      <w:pPr>
        <w:pStyle w:val="TextBody"/>
        <w:bidi w:val="0"/>
        <w:spacing w:lineRule="auto" w:line="288" w:before="0" w:after="200"/>
        <w:ind w:left="0" w:right="0" w:hanging="720"/>
        <w:jc w:val="both"/>
        <w:rPr>
          <w:rFonts w:ascii="Arial;sans-serif" w:hAnsi="Arial;sans-serif"/>
          <w:b w:val="false"/>
          <w:color w:val="000000"/>
          <w:sz w:val="20"/>
        </w:rPr>
      </w:pPr>
      <w:r>
        <w:rPr>
          <w:rFonts w:ascii="Arial;sans-serif" w:hAnsi="Arial;sans-serif"/>
          <w:b w:val="false"/>
          <w:color w:val="000000"/>
          <w:sz w:val="20"/>
        </w:rPr>
        <w:t xml:space="preserve">(ii)if the Company becomes obligated to pay additional amounts as a result of its obligation to bear the cost of Canadian or non-Canadian withholding tax, if applicable.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Redemption can result in exercisability of the conversion option. Holders of Convertible Notes have the right to require the Company to repurchase their Convertible Notes upon the occurrence of certain events.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Pursuant to the indenture governing the terms of the Convertible Notes, as amended (the “Indenture”), the holders of the Convertible Notes, at their election, were permitted to surrender the Convertible Notes for conversion (i) into common shares of the Company during the approximate 30-trading day period prior to the closing of the Continuation and (ii) into common shares of the Company during the period from and after the closing of the Continuation until approximately the 35th trading day after the closing of the Continuation.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Conversion Rate (as defined in the Indenture) for the Convertible Notes was initially 21.2307 common shares per $1,000 principal amount of the Convertible Notes. </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803910"/>
                <wp:effectExtent l="0" t="0" r="0" b="0"/>
                <wp:wrapNone/>
                <wp:docPr id="58" name="Frame2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3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9" descr=""/>
                                          <pic:cNvPicPr>
                                            <a:picLocks noChangeAspect="1" noChangeArrowheads="1"/>
                                          </pic:cNvPicPr>
                                        </pic:nvPicPr>
                                        <pic:blipFill>
                                          <a:blip r:embed="rId3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630"/>
        <w:jc w:val="left"/>
        <w:rPr/>
      </w:pPr>
      <w:r>
        <w:rPr>
          <w:rFonts w:ascii="Arial;sans-serif" w:hAnsi="Arial;sans-serif"/>
          <w:b/>
          <w:color w:val="153A57"/>
          <w:sz w:val="20"/>
        </w:rPr>
        <w:t xml:space="preserve">12.EQUITY-SETTLEABLE CONVERTIBLE NOTES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Pursuant to the terms and conditions of the Indenture, the Conversion Rate for the Convertible Notes was adjusted on October 17, 2023, to 52.6019 common shares of the Company per $1,000 principal amount of the Convertible Notes based on the trading prices of the Company’s common shares over the preceding 10-trading day period due to the Separation transaction. The Conversion Rate for the Convertible Notes was not adjusted as a result of the Continuation. None of the Convertible Notes were surrendered for conversion during the permitted conversion period in connection with the Continuation.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13.SHARE CAPITAL AND EQUITY COMPENSATION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On January 23, 2025, the Company completed the Continuation from Canada to Switzerland. As a result of the Continuation, Lithium Argentina's shares were established with a nominal par value of $0.01 per share. The number of shares outstanding remained unchanged.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share capital is fully paid-in, meaning that the entire issue price of the shares has been fully paid to Lithium Argentina. Lithium Argentina has one class of shares outstanding, being the Common Shares. The Common Shares are not convertible into shares of any other class or series.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Equity Incentive Plan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an equity incentive plan (the “Plan”) in accordance with the policies of the TSX whereby, from time to time at the discretion of the Board of Directors, eligible directors, officers, employees and consultants are awarded restricted share units (“RSUs”) and performance share units (“PSUs”) that, subject to a recipient’s deferral right in accordance with the Income Tax Act (Canada), convert automatically into common shares upon vesting. In addition, independent directors are awarded deferred share units (“DSUs”), generally as partial compensation for their services as directors. DSUs may be redeemed by directors for common shares upon retirement or termination from the Board. The Plan also permits the grant of incentive stock options exercisable to purchase common shares of the Company (“stock options”). The Plan is a “rolling plan” pursuant to which the aggregate number of common shares to be issued shall not exceed 8% of the outstanding shares from time to time.</w:t>
      </w:r>
    </w:p>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Restricted Share Units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granted 1,610 RSUs (2025 – 4,484) to its employees and consultants.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total estimated fair value of the RSUs granted was $12,436 (2025 – $12,425), based on the market value of the Company’s shares on the grant date. As at June 30, 2026, the total unamortized compensation cost related to unvested RSUs was $13,578 (December 31, 2025 – $8,678).</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equity compensation expense related to RSUs of $7,488 was recognized (2025 – $5,585). A summary of changes to the number of outstanding RSUs is as follows: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803910"/>
                <wp:effectExtent l="0" t="0" r="0" b="0"/>
                <wp:wrapNone/>
                <wp:docPr id="61" name="Frame24"/>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0" descr=""/>
                                                <pic:cNvPicPr>
                                                  <a:picLocks noChangeAspect="1" noChangeArrowheads="1"/>
                                                </pic:cNvPicPr>
                                              </pic:nvPicPr>
                                              <pic:blipFill>
                                                <a:blip r:embed="rId39"/>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0" descr=""/>
                                          <pic:cNvPicPr>
                                            <a:picLocks noChangeAspect="1" noChangeArrowheads="1"/>
                                          </pic:cNvPicPr>
                                        </pic:nvPicPr>
                                        <pic:blipFill>
                                          <a:blip r:embed="rId40"/>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19</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13.SHARE CAPITAL AND EQUITY COMPENSATION </w:t>
      </w:r>
      <w:r>
        <w:rPr>
          <w:rFonts w:ascii="Arial;sans-serif" w:hAnsi="Arial;sans-serif"/>
          <w:b w:val="false"/>
          <w:i/>
          <w:color w:val="153A57"/>
          <w:sz w:val="20"/>
        </w:rPr>
        <w:t>(continued)</w:t>
      </w:r>
    </w:p>
    <w:tbl>
      <w:tblPr>
        <w:tblW w:w="6060" w:type="dxa"/>
        <w:jc w:val="left"/>
        <w:tblInd w:w="0" w:type="dxa"/>
        <w:tblLayout w:type="fixed"/>
        <w:tblCellMar>
          <w:top w:w="28" w:type="dxa"/>
          <w:left w:w="28" w:type="dxa"/>
          <w:bottom w:w="28" w:type="dxa"/>
          <w:right w:w="28" w:type="dxa"/>
        </w:tblCellMar>
      </w:tblPr>
      <w:tblGrid>
        <w:gridCol w:w="1617"/>
        <w:gridCol w:w="1422"/>
        <w:gridCol w:w="1431"/>
        <w:gridCol w:w="465"/>
        <w:gridCol w:w="465"/>
        <w:gridCol w:w="660"/>
      </w:tblGrid>
      <w:tr>
        <w:trPr/>
        <w:tc>
          <w:tcPr>
            <w:tcW w:w="16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Number of RSUs</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(in 000's)</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RSUs outstanding as at December 31, 2024</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3,278</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Converted into shares</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(437)</w:t>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4,529</w:t>
            </w:r>
          </w:p>
        </w:tc>
      </w:tr>
      <w:tr>
        <w:trPr/>
        <w:tc>
          <w:tcPr>
            <w:tcW w:w="44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RSUs outstanding as at December 31, 2025</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7,364</w:t>
            </w:r>
          </w:p>
        </w:tc>
      </w:tr>
      <w:tr>
        <w:trPr/>
        <w:tc>
          <w:tcPr>
            <w:tcW w:w="447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Converted into shares</w:t>
            </w:r>
          </w:p>
        </w:tc>
        <w:tc>
          <w:tcPr>
            <w:tcW w:w="159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(1,333)</w:t>
            </w:r>
          </w:p>
        </w:tc>
      </w:tr>
      <w:tr>
        <w:trPr/>
        <w:tc>
          <w:tcPr>
            <w:tcW w:w="447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59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1,610</w:t>
            </w:r>
          </w:p>
        </w:tc>
      </w:tr>
      <w:tr>
        <w:trPr/>
        <w:tc>
          <w:tcPr>
            <w:tcW w:w="447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Forfeited</w:t>
            </w:r>
          </w:p>
        </w:tc>
        <w:tc>
          <w:tcPr>
            <w:tcW w:w="1590"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w:t>
            </w:r>
          </w:p>
        </w:tc>
      </w:tr>
      <w:tr>
        <w:trPr/>
        <w:tc>
          <w:tcPr>
            <w:tcW w:w="447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RSUs outstanding as at June 30, 2026</w:t>
            </w:r>
          </w:p>
        </w:tc>
        <w:tc>
          <w:tcPr>
            <w:tcW w:w="159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7,624</w:t>
            </w:r>
          </w:p>
        </w:tc>
      </w:tr>
    </w:tbl>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Deferred Share Units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granted 116 DSUs (2025 – 324) with a total estimated fair value of $900 (2025 – $900). During the six months ended June 30, 2026, equity compensation expense related to DSUs of $900 was recognized (2025 – $900).</w:t>
      </w:r>
    </w:p>
    <w:tbl>
      <w:tblPr>
        <w:tblW w:w="6060" w:type="dxa"/>
        <w:jc w:val="left"/>
        <w:tblInd w:w="0" w:type="dxa"/>
        <w:tblLayout w:type="fixed"/>
        <w:tblCellMar>
          <w:top w:w="28" w:type="dxa"/>
          <w:left w:w="28" w:type="dxa"/>
          <w:bottom w:w="28" w:type="dxa"/>
          <w:right w:w="28" w:type="dxa"/>
        </w:tblCellMar>
      </w:tblPr>
      <w:tblGrid>
        <w:gridCol w:w="1617"/>
        <w:gridCol w:w="1422"/>
        <w:gridCol w:w="1431"/>
        <w:gridCol w:w="465"/>
        <w:gridCol w:w="465"/>
        <w:gridCol w:w="660"/>
      </w:tblGrid>
      <w:tr>
        <w:trPr/>
        <w:tc>
          <w:tcPr>
            <w:tcW w:w="161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Number of DSUs</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(in 000's)</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DSUs outstanding as at December 31, 2024</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641</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324</w:t>
            </w:r>
          </w:p>
        </w:tc>
      </w:tr>
      <w:tr>
        <w:trPr/>
        <w:tc>
          <w:tcPr>
            <w:tcW w:w="447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DSUs outstanding as at December 31, 2025</w:t>
            </w:r>
          </w:p>
        </w:tc>
        <w:tc>
          <w:tcPr>
            <w:tcW w:w="159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965</w:t>
            </w:r>
          </w:p>
        </w:tc>
      </w:tr>
      <w:tr>
        <w:trPr/>
        <w:tc>
          <w:tcPr>
            <w:tcW w:w="447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1590"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w:t>
            </w:r>
          </w:p>
        </w:tc>
      </w:tr>
      <w:tr>
        <w:trPr/>
        <w:tc>
          <w:tcPr>
            <w:tcW w:w="447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DSUs outstanding as at June 30, 2026</w:t>
            </w:r>
          </w:p>
        </w:tc>
        <w:tc>
          <w:tcPr>
            <w:tcW w:w="1590"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1,081</w:t>
            </w:r>
          </w:p>
        </w:tc>
      </w:tr>
    </w:tbl>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Stock Options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no stock options were granted by the Company (2025 – none).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summary of changes to outstanding stock options is as follows:</w:t>
      </w:r>
    </w:p>
    <w:tbl>
      <w:tblPr>
        <w:tblW w:w="6808" w:type="dxa"/>
        <w:jc w:val="left"/>
        <w:tblInd w:w="0" w:type="dxa"/>
        <w:tblLayout w:type="fixed"/>
        <w:tblCellMar>
          <w:top w:w="28" w:type="dxa"/>
          <w:left w:w="28" w:type="dxa"/>
          <w:bottom w:w="28" w:type="dxa"/>
          <w:right w:w="28" w:type="dxa"/>
        </w:tblCellMar>
      </w:tblPr>
      <w:tblGrid>
        <w:gridCol w:w="1828"/>
        <w:gridCol w:w="1608"/>
        <w:gridCol w:w="1618"/>
        <w:gridCol w:w="513"/>
        <w:gridCol w:w="513"/>
        <w:gridCol w:w="728"/>
      </w:tblGrid>
      <w:tr>
        <w:trPr/>
        <w:tc>
          <w:tcPr>
            <w:tcW w:w="1828"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Number of Options</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(in 000's)</w:t>
            </w:r>
          </w:p>
        </w:tc>
      </w:tr>
      <w:tr>
        <w:trPr/>
        <w:tc>
          <w:tcPr>
            <w:tcW w:w="5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stock options outstanding as at December 31, 2024</w:t>
            </w:r>
          </w:p>
        </w:tc>
        <w:tc>
          <w:tcPr>
            <w:tcW w:w="17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2,715</w:t>
            </w:r>
          </w:p>
        </w:tc>
      </w:tr>
      <w:tr>
        <w:trPr/>
        <w:tc>
          <w:tcPr>
            <w:tcW w:w="50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stock options outstanding as at December 31, 2025</w:t>
            </w:r>
          </w:p>
        </w:tc>
        <w:tc>
          <w:tcPr>
            <w:tcW w:w="175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2,715</w:t>
            </w:r>
          </w:p>
        </w:tc>
      </w:tr>
      <w:tr>
        <w:trPr/>
        <w:tc>
          <w:tcPr>
            <w:tcW w:w="505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175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w:t>
            </w:r>
          </w:p>
        </w:tc>
      </w:tr>
      <w:tr>
        <w:trPr/>
        <w:tc>
          <w:tcPr>
            <w:tcW w:w="5054"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stock options outstanding as at June 30, 2026</w:t>
            </w:r>
          </w:p>
        </w:tc>
        <w:tc>
          <w:tcPr>
            <w:tcW w:w="1754"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2,470</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there was $683 (December 31, 2025 – $1,368) of total unamortized compensation cost relating to unvested stock options. During the six months ended June 30, 2026, stock-based compensation expense related to stock options of $684 (2025 – $1,923) was recognized.</w:t>
      </w:r>
    </w:p>
    <w:p>
      <w:pPr>
        <w:pStyle w:val="TextBody"/>
        <w:bidi w:val="0"/>
        <w:spacing w:lineRule="auto" w:line="288" w:before="0" w:after="200"/>
        <w:jc w:val="both"/>
        <w:rPr>
          <w:rFonts w:ascii="Arial;sans-serif" w:hAnsi="Arial;sans-serif"/>
          <w:b w:val="false"/>
          <w:i/>
          <w:color w:val="000000"/>
          <w:sz w:val="20"/>
        </w:rPr>
      </w:pPr>
      <w:r>
        <w:rPr>
          <w:rFonts w:ascii="Arial;sans-serif" w:hAnsi="Arial;sans-serif"/>
          <w:b w:val="false"/>
          <w:i/>
          <w:color w:val="000000"/>
          <w:sz w:val="20"/>
        </w:rPr>
        <w:t>Performance Share Units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2026, the Company did not grant any PSUs (2025 – none). </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803910"/>
                <wp:effectExtent l="0" t="0" r="0" b="0"/>
                <wp:wrapNone/>
                <wp:docPr id="64" name="Frame25"/>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1" descr=""/>
                                                <pic:cNvPicPr>
                                                  <a:picLocks noChangeAspect="1" noChangeArrowheads="1"/>
                                                </pic:cNvPicPr>
                                              </pic:nvPicPr>
                                              <pic:blipFill>
                                                <a:blip r:embed="rId41"/>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1" descr=""/>
                                          <pic:cNvPicPr>
                                            <a:picLocks noChangeAspect="1" noChangeArrowheads="1"/>
                                          </pic:cNvPicPr>
                                        </pic:nvPicPr>
                                        <pic:blipFill>
                                          <a:blip r:embed="rId42"/>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20</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13.SHARE CAPITAL AND EQUITY COMPENSATION </w:t>
      </w:r>
      <w:r>
        <w:rPr>
          <w:rFonts w:ascii="Arial;sans-serif" w:hAnsi="Arial;sans-serif"/>
          <w:b w:val="false"/>
          <w:i/>
          <w:color w:val="153A57"/>
          <w:sz w:val="20"/>
        </w:rPr>
        <w:t>(continued)</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As at June 30, 2026, there was no unamortized compensation cost relating to unvested PSUs (December 31, 2025 – $108). During the six months ended June 30, 2026, equity compensation expense related to PSUs of $108 was charged to operating expenses (2025 – $168).</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 summary of changes to the number of outstanding PSUs is as follows:</w:t>
      </w:r>
    </w:p>
    <w:tbl>
      <w:tblPr>
        <w:tblW w:w="6029" w:type="dxa"/>
        <w:jc w:val="left"/>
        <w:tblInd w:w="0" w:type="dxa"/>
        <w:tblLayout w:type="fixed"/>
        <w:tblCellMar>
          <w:top w:w="28" w:type="dxa"/>
          <w:left w:w="28" w:type="dxa"/>
          <w:bottom w:w="28" w:type="dxa"/>
          <w:right w:w="28" w:type="dxa"/>
        </w:tblCellMar>
      </w:tblPr>
      <w:tblGrid>
        <w:gridCol w:w="1611"/>
        <w:gridCol w:w="1418"/>
        <w:gridCol w:w="1426"/>
        <w:gridCol w:w="460"/>
        <w:gridCol w:w="460"/>
        <w:gridCol w:w="654"/>
      </w:tblGrid>
      <w:tr>
        <w:trPr/>
        <w:tc>
          <w:tcPr>
            <w:tcW w:w="1611"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Number of PSUs</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(in 000's)</w:t>
            </w:r>
          </w:p>
        </w:tc>
      </w:tr>
      <w:tr>
        <w:trPr/>
        <w:tc>
          <w:tcPr>
            <w:tcW w:w="44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PSUs outstanding as at December 31, 2024</w:t>
            </w:r>
          </w:p>
        </w:tc>
        <w:tc>
          <w:tcPr>
            <w:tcW w:w="15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236</w:t>
            </w:r>
          </w:p>
        </w:tc>
      </w:tr>
      <w:tr>
        <w:trPr/>
        <w:tc>
          <w:tcPr>
            <w:tcW w:w="44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Converted into shares</w:t>
            </w:r>
          </w:p>
        </w:tc>
        <w:tc>
          <w:tcPr>
            <w:tcW w:w="15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w:t>
            </w:r>
          </w:p>
        </w:tc>
      </w:tr>
      <w:tr>
        <w:trPr/>
        <w:tc>
          <w:tcPr>
            <w:tcW w:w="445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PSUs outstanding as at December 31, 2025</w:t>
            </w:r>
          </w:p>
        </w:tc>
        <w:tc>
          <w:tcPr>
            <w:tcW w:w="157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w:t>
            </w:r>
          </w:p>
        </w:tc>
      </w:tr>
      <w:tr>
        <w:trPr/>
        <w:tc>
          <w:tcPr>
            <w:tcW w:w="445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Converted into shares</w:t>
            </w:r>
          </w:p>
        </w:tc>
        <w:tc>
          <w:tcPr>
            <w:tcW w:w="157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w:t>
            </w:r>
          </w:p>
        </w:tc>
      </w:tr>
      <w:tr>
        <w:trPr/>
        <w:tc>
          <w:tcPr>
            <w:tcW w:w="4455"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PSUs outstanding as at June 30, 2026</w:t>
            </w:r>
          </w:p>
        </w:tc>
        <w:tc>
          <w:tcPr>
            <w:tcW w:w="1574" w:type="dxa"/>
            <w:gridSpan w:val="3"/>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14.RELATED PARTY TRANSACTIONS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Any transactions between the Company and its equity-accounted investees Sal de la Puna, Minera Exar, and Exar Capital are considered related party transactions (refer Notes 5, 6, 7 and 8).</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Minera Exar, one of the Company’s equity-accounted investees, has entered into the following transactions with companies controlled by the family of its Director, who is also a director of Lithium Argentina:</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Option Agreement with Grupo Minero Los Boros S.A. dated March 28, 2016, for the transfer to Minera Exar of title to certain mining properties that comprise a portion of the Cauchari-Olaroz project. During the first quarter of 2026, the Company resumed discussions with Grupo Minero Los Boros regarding the agreed quarterly payment schedule, which had been suspended since August 2022. As a result, the fifth installment of $200 was paid in the first week of February 2026 and the sixth installment of $200 on May 4, 2026.</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No expenditures were incurred under the construction services contract for the Cauchari-Olaroz project with Magna Construcciones S.R.L. (“Magna”) for the six months ended June 30, 2026.</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Service agreement with a consortium owned 49% by Magna. The agreement, entered into in Q1 2022, relates to the servicing of the evaporation ponds at Cauchari-Olaroz over a five-year term. For the six months ended June 30, 2026, transactions under this agreement totaled $11,265 (including VAT).</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During the six months ended June 30, 2026, Exar Capital facilitated the purchase of certain materials and supplies on behalf of Minera Exar amounting to</w:t>
      </w:r>
      <w:r>
        <w:rPr>
          <w:color w:val="000000"/>
          <w:shd w:fill="FFFFFF" w:val="clear"/>
        </w:rPr>
        <w:t xml:space="preserve"> </w:t>
      </w:r>
      <w:r>
        <w:rPr>
          <w:rFonts w:ascii="Arial;sans-serif" w:hAnsi="Arial;sans-serif"/>
          <w:b w:val="false"/>
          <w:color w:val="000000"/>
          <w:sz w:val="20"/>
          <w:shd w:fill="FFFFFF" w:val="clear"/>
        </w:rPr>
        <w:t>$29,568 (2025 – $12,352). These transactions are settled by Minera Exar upon delivery of the goods and receipt of supplier documentation.</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On April 28, 2026, Minera Exar made an early payment of a portion of the accrued interest on its loans with Exar Capital totaling $14,997, in accordance with the terms of the loan agreements in effect between the parties.</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During the six months ended June 30, 2026, Minera Exar repaid in full the loan receivable owing to PGCo, including accrued interest, totaling $72,015, comprising principal of $65,000 and accrued interest of $7,015 (Note 9).</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803910"/>
                <wp:effectExtent l="0" t="0" r="0" b="0"/>
                <wp:wrapNone/>
                <wp:docPr id="67" name="Frame26"/>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2" descr=""/>
                                                <pic:cNvPicPr>
                                                  <a:picLocks noChangeAspect="1" noChangeArrowheads="1"/>
                                                </pic:cNvPicPr>
                                              </pic:nvPicPr>
                                              <pic:blipFill>
                                                <a:blip r:embed="rId4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6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2" descr=""/>
                                          <pic:cNvPicPr>
                                            <a:picLocks noChangeAspect="1" noChangeArrowheads="1"/>
                                          </pic:cNvPicPr>
                                        </pic:nvPicPr>
                                        <pic:blipFill>
                                          <a:blip r:embed="rId4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21</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14.RELATED PARTY TRANSACTIONS </w:t>
      </w:r>
      <w:r>
        <w:rPr>
          <w:rFonts w:ascii="Arial;sans-serif" w:hAnsi="Arial;sans-serif"/>
          <w:b w:val="false"/>
          <w:i/>
          <w:color w:val="153A57"/>
          <w:sz w:val="20"/>
        </w:rPr>
        <w:t>(continued)</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 xml:space="preserve">During the six months ended June 30, 2026, Exar Capital repaid a portion of outstanding loan interest to the Company totaling $12,936 (Note 7). </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During the six months ended June 30, 2026, the Company acquired $26,005 of Exar Capital loan receivables from Ganfeng (Note 7).</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amounts due by Minera Exar and Exar Capital to related parties arising from such transactions are unsecured, non-interest bearing and have no specific terms of payment.</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Compensation of Key Management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Key management are the Company’s board of directors, and the executive management team. The remuneration of directors and members of the executive management team and amounts due as of June 30, 2026, were as follows:</w:t>
      </w:r>
    </w:p>
    <w:tbl>
      <w:tblPr>
        <w:tblW w:w="10205" w:type="dxa"/>
        <w:jc w:val="left"/>
        <w:tblInd w:w="0" w:type="dxa"/>
        <w:tblLayout w:type="fixed"/>
        <w:tblCellMar>
          <w:top w:w="28" w:type="dxa"/>
          <w:left w:w="28" w:type="dxa"/>
          <w:bottom w:w="28" w:type="dxa"/>
          <w:right w:w="28" w:type="dxa"/>
        </w:tblCellMar>
      </w:tblPr>
      <w:tblGrid>
        <w:gridCol w:w="2126"/>
        <w:gridCol w:w="1816"/>
        <w:gridCol w:w="1825"/>
        <w:gridCol w:w="435"/>
        <w:gridCol w:w="357"/>
        <w:gridCol w:w="339"/>
        <w:gridCol w:w="435"/>
        <w:gridCol w:w="357"/>
        <w:gridCol w:w="350"/>
        <w:gridCol w:w="378"/>
        <w:gridCol w:w="335"/>
        <w:gridCol w:w="299"/>
        <w:gridCol w:w="378"/>
        <w:gridCol w:w="335"/>
        <w:gridCol w:w="440"/>
      </w:tblGrid>
      <w:tr>
        <w:trPr/>
        <w:tc>
          <w:tcPr>
            <w:tcW w:w="212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5767"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165"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14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012"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1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5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4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012"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5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576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Share based compensation</w:t>
            </w:r>
          </w:p>
        </w:tc>
        <w:tc>
          <w:tcPr>
            <w:tcW w:w="792"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3,544 </w:t>
            </w:r>
          </w:p>
        </w:tc>
        <w:tc>
          <w:tcPr>
            <w:tcW w:w="339"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4,052 </w:t>
            </w:r>
          </w:p>
        </w:tc>
        <w:tc>
          <w:tcPr>
            <w:tcW w:w="35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8,046 </w:t>
            </w:r>
          </w:p>
        </w:tc>
        <w:tc>
          <w:tcPr>
            <w:tcW w:w="299"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8,106 </w:t>
            </w:r>
          </w:p>
        </w:tc>
        <w:tc>
          <w:tcPr>
            <w:tcW w:w="44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bonuses, benefits and directors' fees included in general &amp; administrative expenses</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33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1,771 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1,586 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bonuses and benefits included in exploration expenditures</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33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and benefits capitalized to Investment in Cauchari-Olaroz project</w:t>
            </w:r>
          </w:p>
        </w:tc>
        <w:tc>
          <w:tcPr>
            <w:tcW w:w="792"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99"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7" w:type="dxa"/>
            <w:gridSpan w:val="3"/>
            <w:tcBorders>
              <w:top w:val="single" w:sz="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4,408 </w:t>
            </w:r>
          </w:p>
        </w:tc>
        <w:tc>
          <w:tcPr>
            <w:tcW w:w="339" w:type="dxa"/>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4"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4,956 </w:t>
            </w:r>
          </w:p>
        </w:tc>
        <w:tc>
          <w:tcPr>
            <w:tcW w:w="350" w:type="dxa"/>
            <w:tcBorders>
              <w:top w:val="single" w:sz="4"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9,943 </w:t>
            </w:r>
          </w:p>
        </w:tc>
        <w:tc>
          <w:tcPr>
            <w:tcW w:w="299" w:type="dxa"/>
            <w:tcBorders>
              <w:top w:val="single" w:sz="4" w:space="0" w:color="000000"/>
              <w:bottom w:val="single" w:sz="8"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4"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9,964 </w:t>
            </w:r>
          </w:p>
        </w:tc>
        <w:tc>
          <w:tcPr>
            <w:tcW w:w="440" w:type="dxa"/>
            <w:tcBorders>
              <w:top w:val="single" w:sz="4"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33" w:type="dxa"/>
        <w:jc w:val="left"/>
        <w:tblInd w:w="0" w:type="dxa"/>
        <w:tblLayout w:type="fixed"/>
        <w:tblCellMar>
          <w:top w:w="28" w:type="dxa"/>
          <w:left w:w="28" w:type="dxa"/>
          <w:bottom w:w="28" w:type="dxa"/>
          <w:right w:w="28" w:type="dxa"/>
        </w:tblCellMar>
      </w:tblPr>
      <w:tblGrid>
        <w:gridCol w:w="662"/>
        <w:gridCol w:w="582"/>
        <w:gridCol w:w="585"/>
        <w:gridCol w:w="429"/>
        <w:gridCol w:w="429"/>
        <w:gridCol w:w="431"/>
        <w:gridCol w:w="530"/>
        <w:gridCol w:w="530"/>
        <w:gridCol w:w="75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18" w:space="0" w:color="153A57"/>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1829"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due to directors</w:t>
            </w:r>
          </w:p>
        </w:tc>
        <w:tc>
          <w:tcPr>
            <w:tcW w:w="858"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431"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755"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 xml:space="preserve">15.GENERAL AND ADMINISTRATIVE EXPENSES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summarizes the Company’s general and administrative expenses:</w:t>
      </w:r>
    </w:p>
    <w:tbl>
      <w:tblPr>
        <w:tblW w:w="8124" w:type="dxa"/>
        <w:jc w:val="left"/>
        <w:tblInd w:w="0" w:type="dxa"/>
        <w:tblLayout w:type="fixed"/>
        <w:tblCellMar>
          <w:top w:w="28" w:type="dxa"/>
          <w:left w:w="28" w:type="dxa"/>
          <w:bottom w:w="28" w:type="dxa"/>
          <w:right w:w="28" w:type="dxa"/>
        </w:tblCellMar>
      </w:tblPr>
      <w:tblGrid>
        <w:gridCol w:w="1108"/>
        <w:gridCol w:w="972"/>
        <w:gridCol w:w="979"/>
        <w:gridCol w:w="435"/>
        <w:gridCol w:w="435"/>
        <w:gridCol w:w="435"/>
        <w:gridCol w:w="435"/>
        <w:gridCol w:w="435"/>
        <w:gridCol w:w="449"/>
        <w:gridCol w:w="378"/>
        <w:gridCol w:w="378"/>
        <w:gridCol w:w="378"/>
        <w:gridCol w:w="378"/>
        <w:gridCol w:w="378"/>
        <w:gridCol w:w="551"/>
      </w:tblGrid>
      <w:tr>
        <w:trPr/>
        <w:tc>
          <w:tcPr>
            <w:tcW w:w="110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1"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13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3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0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305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Salaries, benefits and directors' fees</w:t>
            </w:r>
          </w:p>
        </w:tc>
        <w:tc>
          <w:tcPr>
            <w:tcW w:w="87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2,195 </w:t>
            </w:r>
          </w:p>
        </w:tc>
        <w:tc>
          <w:tcPr>
            <w:tcW w:w="43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2,031 </w:t>
            </w:r>
          </w:p>
        </w:tc>
        <w:tc>
          <w:tcPr>
            <w:tcW w:w="44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5,509 </w:t>
            </w:r>
          </w:p>
        </w:tc>
        <w:tc>
          <w:tcPr>
            <w:tcW w:w="37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3,985 </w:t>
            </w:r>
          </w:p>
        </w:tc>
        <w:tc>
          <w:tcPr>
            <w:tcW w:w="55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Office and administration</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1,107 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1,456 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1,685 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2,530 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1,675 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Regulatory and filing fees</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Travel</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326 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Investor relations</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4,767 </w:t>
            </w:r>
          </w:p>
        </w:tc>
        <w:tc>
          <w:tcPr>
            <w:tcW w:w="435"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4,231 </w:t>
            </w:r>
          </w:p>
        </w:tc>
        <w:tc>
          <w:tcPr>
            <w:tcW w:w="44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9,779 </w:t>
            </w:r>
          </w:p>
        </w:tc>
        <w:tc>
          <w:tcPr>
            <w:tcW w:w="378"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8,031 </w:t>
            </w:r>
          </w:p>
        </w:tc>
        <w:tc>
          <w:tcPr>
            <w:tcW w:w="55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03910"/>
                <wp:effectExtent l="0" t="0" r="0" b="0"/>
                <wp:wrapNone/>
                <wp:docPr id="70" name="Frame27"/>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3" descr=""/>
                                                <pic:cNvPicPr>
                                                  <a:picLocks noChangeAspect="1" noChangeArrowheads="1"/>
                                                </pic:cNvPicPr>
                                              </pic:nvPicPr>
                                              <pic:blipFill>
                                                <a:blip r:embed="rId4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3" descr=""/>
                                          <pic:cNvPicPr>
                                            <a:picLocks noChangeAspect="1" noChangeArrowheads="1"/>
                                          </pic:cNvPicPr>
                                        </pic:nvPicPr>
                                        <pic:blipFill>
                                          <a:blip r:embed="rId4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22</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16.EXPLORATION AND EVALUATION EXPENDITURES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summarizes the Company’s exploration and evaluation expenditures:</w:t>
      </w:r>
    </w:p>
    <w:tbl>
      <w:tblPr>
        <w:tblW w:w="8951" w:type="dxa"/>
        <w:jc w:val="left"/>
        <w:tblInd w:w="0" w:type="dxa"/>
        <w:tblLayout w:type="fixed"/>
        <w:tblCellMar>
          <w:top w:w="28" w:type="dxa"/>
          <w:left w:w="28" w:type="dxa"/>
          <w:bottom w:w="28" w:type="dxa"/>
          <w:right w:w="28" w:type="dxa"/>
        </w:tblCellMar>
      </w:tblPr>
      <w:tblGrid>
        <w:gridCol w:w="1014"/>
        <w:gridCol w:w="892"/>
        <w:gridCol w:w="898"/>
        <w:gridCol w:w="554"/>
        <w:gridCol w:w="554"/>
        <w:gridCol w:w="556"/>
        <w:gridCol w:w="233"/>
        <w:gridCol w:w="233"/>
        <w:gridCol w:w="196"/>
        <w:gridCol w:w="233"/>
        <w:gridCol w:w="233"/>
        <w:gridCol w:w="176"/>
        <w:gridCol w:w="554"/>
        <w:gridCol w:w="554"/>
        <w:gridCol w:w="556"/>
        <w:gridCol w:w="233"/>
        <w:gridCol w:w="233"/>
        <w:gridCol w:w="196"/>
        <w:gridCol w:w="308"/>
        <w:gridCol w:w="308"/>
        <w:gridCol w:w="237"/>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7" w:type="dxa"/>
            <w:gridSpan w:val="18"/>
            <w:tcBorders>
              <w:top w:val="single" w:sz="18" w:space="0" w:color="153A57"/>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17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Millennial Projects</w:t>
            </w:r>
          </w:p>
        </w:tc>
        <w:tc>
          <w:tcPr>
            <w:tcW w:w="662"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Other</w:t>
            </w:r>
          </w:p>
        </w:tc>
        <w:tc>
          <w:tcPr>
            <w:tcW w:w="642"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Millennial Projects</w:t>
            </w:r>
          </w:p>
        </w:tc>
        <w:tc>
          <w:tcPr>
            <w:tcW w:w="66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Other</w:t>
            </w:r>
          </w:p>
        </w:tc>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28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662"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642"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6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66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Consulting and salaries</w:t>
            </w:r>
          </w:p>
        </w:tc>
        <w:tc>
          <w:tcPr>
            <w:tcW w:w="1108"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55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9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7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740 </w:t>
            </w:r>
          </w:p>
        </w:tc>
        <w:tc>
          <w:tcPr>
            <w:tcW w:w="5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9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1,123 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Permitting and environmental</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Field supplies and other</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799 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Drilling and geological expenses</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55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185 </w:t>
            </w:r>
          </w:p>
        </w:tc>
        <w:tc>
          <w:tcPr>
            <w:tcW w:w="19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999 </w:t>
            </w:r>
          </w:p>
        </w:tc>
        <w:tc>
          <w:tcPr>
            <w:tcW w:w="17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1,815 </w:t>
            </w:r>
          </w:p>
        </w:tc>
        <w:tc>
          <w:tcPr>
            <w:tcW w:w="55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383 </w:t>
            </w:r>
          </w:p>
        </w:tc>
        <w:tc>
          <w:tcPr>
            <w:tcW w:w="19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2,198 </w:t>
            </w:r>
          </w:p>
        </w:tc>
        <w:tc>
          <w:tcPr>
            <w:tcW w:w="23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101" w:type="dxa"/>
        <w:jc w:val="left"/>
        <w:tblInd w:w="0" w:type="dxa"/>
        <w:tblLayout w:type="fixed"/>
        <w:tblCellMar>
          <w:top w:w="28" w:type="dxa"/>
          <w:left w:w="28" w:type="dxa"/>
          <w:bottom w:w="28" w:type="dxa"/>
          <w:right w:w="28" w:type="dxa"/>
        </w:tblCellMar>
      </w:tblPr>
      <w:tblGrid>
        <w:gridCol w:w="1014"/>
        <w:gridCol w:w="892"/>
        <w:gridCol w:w="898"/>
        <w:gridCol w:w="554"/>
        <w:gridCol w:w="554"/>
        <w:gridCol w:w="556"/>
        <w:gridCol w:w="233"/>
        <w:gridCol w:w="233"/>
        <w:gridCol w:w="196"/>
        <w:gridCol w:w="308"/>
        <w:gridCol w:w="308"/>
        <w:gridCol w:w="176"/>
        <w:gridCol w:w="554"/>
        <w:gridCol w:w="554"/>
        <w:gridCol w:w="556"/>
        <w:gridCol w:w="233"/>
        <w:gridCol w:w="233"/>
        <w:gridCol w:w="196"/>
        <w:gridCol w:w="308"/>
        <w:gridCol w:w="308"/>
        <w:gridCol w:w="237"/>
      </w:tblGrid>
      <w:tr>
        <w:trPr/>
        <w:tc>
          <w:tcPr>
            <w:tcW w:w="1014"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7" w:type="dxa"/>
            <w:gridSpan w:val="18"/>
            <w:tcBorders>
              <w:top w:val="single" w:sz="18" w:space="0" w:color="153A57"/>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8" w:type="dxa"/>
            <w:gridSpan w:val="9"/>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2026</w:t>
            </w:r>
          </w:p>
        </w:tc>
        <w:tc>
          <w:tcPr>
            <w:tcW w:w="3179" w:type="dxa"/>
            <w:gridSpan w:val="9"/>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2025</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Millennial Projects</w:t>
            </w:r>
          </w:p>
        </w:tc>
        <w:tc>
          <w:tcPr>
            <w:tcW w:w="662"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Other</w:t>
            </w:r>
          </w:p>
        </w:tc>
        <w:tc>
          <w:tcPr>
            <w:tcW w:w="792"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c>
          <w:tcPr>
            <w:tcW w:w="166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Millennial Projects</w:t>
            </w:r>
          </w:p>
        </w:tc>
        <w:tc>
          <w:tcPr>
            <w:tcW w:w="66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Other</w:t>
            </w:r>
          </w:p>
        </w:tc>
        <w:tc>
          <w:tcPr>
            <w:tcW w:w="85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280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662"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792" w:type="dxa"/>
            <w:gridSpan w:val="3"/>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66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66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85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8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Consulting and salaries</w:t>
            </w:r>
          </w:p>
        </w:tc>
        <w:tc>
          <w:tcPr>
            <w:tcW w:w="1108"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55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9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shd w:fill="DDDDDD"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1,042 </w:t>
            </w:r>
          </w:p>
        </w:tc>
        <w:tc>
          <w:tcPr>
            <w:tcW w:w="176" w:type="dxa"/>
            <w:tcBorders>
              <w:top w:val="single" w:sz="4" w:space="0" w:color="000000"/>
            </w:tcBorders>
            <w:shd w:fill="DDDDD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1,584 </w:t>
            </w:r>
          </w:p>
        </w:tc>
        <w:tc>
          <w:tcPr>
            <w:tcW w:w="55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96"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2,360 </w:t>
            </w:r>
          </w:p>
        </w:tc>
        <w:tc>
          <w:tcPr>
            <w:tcW w:w="23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Permitting and environmental</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Field supplies and other</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Drilling and geological expenses</w:t>
            </w:r>
          </w:p>
        </w:tc>
        <w:tc>
          <w:tcPr>
            <w:tcW w:w="110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55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372 </w:t>
            </w:r>
          </w:p>
        </w:tc>
        <w:tc>
          <w:tcPr>
            <w:tcW w:w="17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1,461 </w:t>
            </w:r>
          </w:p>
        </w:tc>
        <w:tc>
          <w:tcPr>
            <w:tcW w:w="55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393 </w:t>
            </w:r>
          </w:p>
        </w:tc>
        <w:tc>
          <w:tcPr>
            <w:tcW w:w="19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1,854 </w:t>
            </w:r>
          </w:p>
        </w:tc>
        <w:tc>
          <w:tcPr>
            <w:tcW w:w="176" w:type="dxa"/>
            <w:tcBorders>
              <w:top w:val="single" w:sz="4" w:space="0" w:color="000000"/>
              <w:bottom w:val="single" w:sz="4" w:space="0" w:color="000000"/>
            </w:tcBorders>
            <w:shd w:fill="DDDDD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3,233 </w:t>
            </w:r>
          </w:p>
        </w:tc>
        <w:tc>
          <w:tcPr>
            <w:tcW w:w="55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776 </w:t>
            </w:r>
          </w:p>
        </w:tc>
        <w:tc>
          <w:tcPr>
            <w:tcW w:w="196"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4,009 </w:t>
            </w:r>
          </w:p>
        </w:tc>
        <w:tc>
          <w:tcPr>
            <w:tcW w:w="23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17.FINANCE AND OTHER COSTS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summarizes the Company’s finance and other costs:</w:t>
      </w:r>
    </w:p>
    <w:tbl>
      <w:tblPr>
        <w:tblW w:w="7480" w:type="dxa"/>
        <w:jc w:val="left"/>
        <w:tblInd w:w="0" w:type="dxa"/>
        <w:tblLayout w:type="fixed"/>
        <w:tblCellMar>
          <w:top w:w="28" w:type="dxa"/>
          <w:left w:w="28" w:type="dxa"/>
          <w:bottom w:w="28" w:type="dxa"/>
          <w:right w:w="28" w:type="dxa"/>
        </w:tblCellMar>
      </w:tblPr>
      <w:tblGrid>
        <w:gridCol w:w="875"/>
        <w:gridCol w:w="769"/>
        <w:gridCol w:w="771"/>
        <w:gridCol w:w="435"/>
        <w:gridCol w:w="435"/>
        <w:gridCol w:w="435"/>
        <w:gridCol w:w="435"/>
        <w:gridCol w:w="435"/>
        <w:gridCol w:w="449"/>
        <w:gridCol w:w="378"/>
        <w:gridCol w:w="378"/>
        <w:gridCol w:w="378"/>
        <w:gridCol w:w="378"/>
        <w:gridCol w:w="378"/>
        <w:gridCol w:w="551"/>
      </w:tblGrid>
      <w:tr>
        <w:trPr/>
        <w:tc>
          <w:tcPr>
            <w:tcW w:w="87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1"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13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3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0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241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on convertible notes</w:t>
            </w:r>
          </w:p>
        </w:tc>
        <w:tc>
          <w:tcPr>
            <w:tcW w:w="87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7,624 </w:t>
            </w:r>
          </w:p>
        </w:tc>
        <w:tc>
          <w:tcPr>
            <w:tcW w:w="43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6,854 </w:t>
            </w:r>
          </w:p>
        </w:tc>
        <w:tc>
          <w:tcPr>
            <w:tcW w:w="44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14,944 </w:t>
            </w:r>
          </w:p>
        </w:tc>
        <w:tc>
          <w:tcPr>
            <w:tcW w:w="37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13,436 </w:t>
            </w:r>
          </w:p>
        </w:tc>
        <w:tc>
          <w:tcPr>
            <w:tcW w:w="55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547 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2,817 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7,556 </w:t>
            </w:r>
          </w:p>
        </w:tc>
        <w:tc>
          <w:tcPr>
            <w:tcW w:w="435"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7,401 </w:t>
            </w:r>
          </w:p>
        </w:tc>
        <w:tc>
          <w:tcPr>
            <w:tcW w:w="44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17,761 </w:t>
            </w:r>
          </w:p>
        </w:tc>
        <w:tc>
          <w:tcPr>
            <w:tcW w:w="378"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13,985 </w:t>
            </w:r>
          </w:p>
        </w:tc>
        <w:tc>
          <w:tcPr>
            <w:tcW w:w="55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03910"/>
                <wp:effectExtent l="0" t="0" r="0" b="0"/>
                <wp:wrapNone/>
                <wp:docPr id="73" name="Frame28"/>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4" descr=""/>
                                                <pic:cNvPicPr>
                                                  <a:picLocks noChangeAspect="1" noChangeArrowheads="1"/>
                                                </pic:cNvPicPr>
                                              </pic:nvPicPr>
                                              <pic:blipFill>
                                                <a:blip r:embed="rId4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4" descr=""/>
                                          <pic:cNvPicPr>
                                            <a:picLocks noChangeAspect="1" noChangeArrowheads="1"/>
                                          </pic:cNvPicPr>
                                        </pic:nvPicPr>
                                        <pic:blipFill>
                                          <a:blip r:embed="rId4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23</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18.FINANCE AND OTHER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table summarizes the Company’s finance and other income:</w:t>
      </w:r>
    </w:p>
    <w:tbl>
      <w:tblPr>
        <w:tblW w:w="8260" w:type="dxa"/>
        <w:jc w:val="left"/>
        <w:tblInd w:w="0" w:type="dxa"/>
        <w:tblLayout w:type="fixed"/>
        <w:tblCellMar>
          <w:top w:w="28" w:type="dxa"/>
          <w:left w:w="28" w:type="dxa"/>
          <w:bottom w:w="28" w:type="dxa"/>
          <w:right w:w="28" w:type="dxa"/>
        </w:tblCellMar>
      </w:tblPr>
      <w:tblGrid>
        <w:gridCol w:w="1157"/>
        <w:gridCol w:w="1014"/>
        <w:gridCol w:w="1024"/>
        <w:gridCol w:w="435"/>
        <w:gridCol w:w="435"/>
        <w:gridCol w:w="435"/>
        <w:gridCol w:w="435"/>
        <w:gridCol w:w="435"/>
        <w:gridCol w:w="449"/>
        <w:gridCol w:w="378"/>
        <w:gridCol w:w="378"/>
        <w:gridCol w:w="378"/>
        <w:gridCol w:w="378"/>
        <w:gridCol w:w="378"/>
        <w:gridCol w:w="551"/>
      </w:tblGrid>
      <w:tr>
        <w:trPr/>
        <w:tc>
          <w:tcPr>
            <w:tcW w:w="115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1" w:type="dxa"/>
            <w:gridSpan w:val="6"/>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c>
          <w:tcPr>
            <w:tcW w:w="113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13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07"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319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on loans to Exar Capital</w:t>
            </w:r>
          </w:p>
        </w:tc>
        <w:tc>
          <w:tcPr>
            <w:tcW w:w="870"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6,901 </w:t>
            </w:r>
          </w:p>
        </w:tc>
        <w:tc>
          <w:tcPr>
            <w:tcW w:w="435"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11,964 </w:t>
            </w:r>
          </w:p>
        </w:tc>
        <w:tc>
          <w:tcPr>
            <w:tcW w:w="449"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13,534 </w:t>
            </w:r>
          </w:p>
        </w:tc>
        <w:tc>
          <w:tcPr>
            <w:tcW w:w="378" w:type="dxa"/>
            <w:tcBorders>
              <w:top w:val="single" w:sz="4" w:space="0" w:color="000000"/>
            </w:tcBorders>
            <w:shd w:fill="D9D9D9"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23,239 </w:t>
            </w:r>
          </w:p>
        </w:tc>
        <w:tc>
          <w:tcPr>
            <w:tcW w:w="55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on loans to Minera Exar</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on cash and cash equivalents</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765 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1,571 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Other income</w:t>
            </w:r>
          </w:p>
        </w:tc>
        <w:tc>
          <w:tcPr>
            <w:tcW w:w="87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(391)</w:t>
            </w:r>
          </w:p>
        </w:tc>
        <w:tc>
          <w:tcPr>
            <w:tcW w:w="43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378"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7,381 </w:t>
            </w:r>
          </w:p>
        </w:tc>
        <w:tc>
          <w:tcPr>
            <w:tcW w:w="435"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14,478 </w:t>
            </w:r>
          </w:p>
        </w:tc>
        <w:tc>
          <w:tcPr>
            <w:tcW w:w="449"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15,975 </w:t>
            </w:r>
          </w:p>
        </w:tc>
        <w:tc>
          <w:tcPr>
            <w:tcW w:w="378" w:type="dxa"/>
            <w:tcBorders>
              <w:top w:val="single" w:sz="4" w:space="0" w:color="000000"/>
              <w:bottom w:val="single" w:sz="4" w:space="0" w:color="000000"/>
            </w:tcBorders>
            <w:shd w:fill="D9D9D9"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28,179 </w:t>
            </w:r>
          </w:p>
        </w:tc>
        <w:tc>
          <w:tcPr>
            <w:tcW w:w="55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19.SEGMENTED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is engaged in production, exploration and development of mineral properties in Argentina. Operating segments are reported in a manner consistent with the internal reporting to the executive leadership team who act as the operating decision-makers. The Company has identified two operating segments which include Cauchari-Olaroz and Pastos Grandes Basin.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reportable segments and corporate assets are summarized in the following tables:</w:t>
      </w:r>
    </w:p>
    <w:tbl>
      <w:tblPr>
        <w:tblW w:w="9309" w:type="dxa"/>
        <w:jc w:val="left"/>
        <w:tblInd w:w="0" w:type="dxa"/>
        <w:tblLayout w:type="fixed"/>
        <w:tblCellMar>
          <w:top w:w="28" w:type="dxa"/>
          <w:left w:w="28" w:type="dxa"/>
          <w:bottom w:w="28" w:type="dxa"/>
          <w:right w:w="28" w:type="dxa"/>
        </w:tblCellMar>
      </w:tblPr>
      <w:tblGrid>
        <w:gridCol w:w="1343"/>
        <w:gridCol w:w="1178"/>
        <w:gridCol w:w="1183"/>
        <w:gridCol w:w="413"/>
        <w:gridCol w:w="413"/>
        <w:gridCol w:w="316"/>
        <w:gridCol w:w="674"/>
        <w:gridCol w:w="674"/>
        <w:gridCol w:w="676"/>
        <w:gridCol w:w="449"/>
        <w:gridCol w:w="451"/>
        <w:gridCol w:w="326"/>
        <w:gridCol w:w="488"/>
        <w:gridCol w:w="488"/>
        <w:gridCol w:w="237"/>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Cauchari-</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Olaroz</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w:t>
            </w:r>
          </w:p>
        </w:tc>
        <w:tc>
          <w:tcPr>
            <w:tcW w:w="202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Pastos Grandes Basin</w:t>
              <w:br/>
              <w:t>$</w:t>
            </w:r>
          </w:p>
        </w:tc>
        <w:tc>
          <w:tcPr>
            <w:tcW w:w="1226"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Corporate</w:t>
              <w:br/>
              <w:t>$</w:t>
            </w:r>
          </w:p>
        </w:tc>
        <w:tc>
          <w:tcPr>
            <w:tcW w:w="121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br/>
              <w:t>$</w:t>
            </w:r>
          </w:p>
        </w:tc>
      </w:tr>
      <w:tr>
        <w:trPr/>
        <w:tc>
          <w:tcPr>
            <w:tcW w:w="370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As at June 30, 2026</w:t>
            </w:r>
          </w:p>
        </w:tc>
        <w:tc>
          <w:tcPr>
            <w:tcW w:w="114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8,381 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756 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and evaluation assets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341,005 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341,020 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471,079 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533,352 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148,071 </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1,152,502 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(1,618)</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(311,311)</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(312,929)</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For the six months ended June 30, 2026</w:t>
            </w:r>
          </w:p>
        </w:tc>
        <w:tc>
          <w:tcPr>
            <w:tcW w:w="114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Income/(loss)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34,323 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(2,730)</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(22,838)</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8,755 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expenditures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(1,710)</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(144)</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(1,854)</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(14,944)</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(14,944)</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shd w:fill="D9D9D9"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For the three months ended June 30, 2026</w:t>
            </w:r>
          </w:p>
        </w:tc>
        <w:tc>
          <w:tcPr>
            <w:tcW w:w="1142"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shd w:fill="D9D9D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Income/(loss)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12,255 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(1,426)</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(9,551)</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1,278 </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expenditures</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(936)</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(999)</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D9D9D9"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2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67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32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9D9D9"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237"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(7,624)</w:t>
            </w:r>
          </w:p>
        </w:tc>
        <w:tc>
          <w:tcPr>
            <w:tcW w:w="326"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4" w:space="0" w:color="000000"/>
            </w:tcBorders>
            <w:shd w:fill="D9D9D9"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(7,624)</w:t>
            </w:r>
          </w:p>
        </w:tc>
        <w:tc>
          <w:tcPr>
            <w:tcW w:w="237" w:type="dxa"/>
            <w:tcBorders>
              <w:bottom w:val="single" w:sz="4" w:space="0" w:color="000000"/>
            </w:tcBorders>
            <w:shd w:fill="D9D9D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03910"/>
                <wp:effectExtent l="0" t="0" r="0" b="0"/>
                <wp:wrapNone/>
                <wp:docPr id="76" name="Frame29"/>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25" descr=""/>
                                                <pic:cNvPicPr>
                                                  <a:picLocks noChangeAspect="1" noChangeArrowheads="1"/>
                                                </pic:cNvPicPr>
                                              </pic:nvPicPr>
                                              <pic:blipFill>
                                                <a:blip r:embed="rId49"/>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7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25" descr=""/>
                                          <pic:cNvPicPr>
                                            <a:picLocks noChangeAspect="1" noChangeArrowheads="1"/>
                                          </pic:cNvPicPr>
                                        </pic:nvPicPr>
                                        <pic:blipFill>
                                          <a:blip r:embed="rId50"/>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24</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19.SEGMENTED INFORMATION </w:t>
      </w:r>
      <w:r>
        <w:rPr>
          <w:rFonts w:ascii="Arial;sans-serif" w:hAnsi="Arial;sans-serif"/>
          <w:b w:val="false"/>
          <w:i/>
          <w:color w:val="153A57"/>
          <w:sz w:val="20"/>
        </w:rPr>
        <w:t>(continued)</w:t>
      </w:r>
    </w:p>
    <w:tbl>
      <w:tblPr>
        <w:tblW w:w="9309" w:type="dxa"/>
        <w:jc w:val="left"/>
        <w:tblInd w:w="0" w:type="dxa"/>
        <w:tblLayout w:type="fixed"/>
        <w:tblCellMar>
          <w:top w:w="28" w:type="dxa"/>
          <w:left w:w="28" w:type="dxa"/>
          <w:bottom w:w="28" w:type="dxa"/>
          <w:right w:w="28" w:type="dxa"/>
        </w:tblCellMar>
      </w:tblPr>
      <w:tblGrid>
        <w:gridCol w:w="1343"/>
        <w:gridCol w:w="1178"/>
        <w:gridCol w:w="1183"/>
        <w:gridCol w:w="413"/>
        <w:gridCol w:w="413"/>
        <w:gridCol w:w="316"/>
        <w:gridCol w:w="674"/>
        <w:gridCol w:w="674"/>
        <w:gridCol w:w="676"/>
        <w:gridCol w:w="448"/>
        <w:gridCol w:w="452"/>
        <w:gridCol w:w="326"/>
        <w:gridCol w:w="488"/>
        <w:gridCol w:w="488"/>
        <w:gridCol w:w="237"/>
      </w:tblGrid>
      <w:tr>
        <w:trPr/>
        <w:tc>
          <w:tcPr>
            <w:tcW w:w="1343"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Cauchari-</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Olaroz</w:t>
            </w:r>
          </w:p>
          <w:p>
            <w:pPr>
              <w:pStyle w:val="TableContents"/>
              <w:bidi w:val="0"/>
              <w:spacing w:lineRule="auto" w:line="288" w:before="0" w:after="0"/>
              <w:jc w:val="right"/>
              <w:rPr>
                <w:rFonts w:ascii="Arial;sans-serif" w:hAnsi="Arial;sans-serif"/>
                <w:b/>
                <w:color w:val="000000"/>
                <w:sz w:val="18"/>
              </w:rPr>
            </w:pPr>
            <w:r>
              <w:rPr>
                <w:rFonts w:ascii="Arial;sans-serif" w:hAnsi="Arial;sans-serif"/>
                <w:b/>
                <w:color w:val="000000"/>
                <w:sz w:val="18"/>
              </w:rPr>
              <w:t>$</w:t>
            </w:r>
          </w:p>
        </w:tc>
        <w:tc>
          <w:tcPr>
            <w:tcW w:w="2024"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Pastos Grandes Basin</w:t>
              <w:br/>
              <w:t>$</w:t>
            </w:r>
          </w:p>
        </w:tc>
        <w:tc>
          <w:tcPr>
            <w:tcW w:w="1226"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Corporate</w:t>
              <w:br/>
              <w:t>$</w:t>
            </w:r>
          </w:p>
        </w:tc>
        <w:tc>
          <w:tcPr>
            <w:tcW w:w="121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Total</w:t>
              <w:br/>
              <w:t>$</w:t>
            </w:r>
          </w:p>
        </w:tc>
      </w:tr>
      <w:tr>
        <w:trPr/>
        <w:tc>
          <w:tcPr>
            <w:tcW w:w="37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As at December 31, 2025</w:t>
            </w:r>
          </w:p>
        </w:tc>
        <w:tc>
          <w:tcPr>
            <w:tcW w:w="11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8,444 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9,374 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and evaluation assets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340,999 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341,014 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409,762 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606,805 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83,213 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1,099,780 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(14,869)</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(267,978)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(282,847)</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For the six months ended June 30, 2025</w:t>
            </w:r>
          </w:p>
        </w:tc>
        <w:tc>
          <w:tcPr>
            <w:tcW w:w="11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 additions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(923)</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(404)</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(9,943)</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(11,270)</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expenditures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(3,768)</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(241)</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(4,009)</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(264)</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(13,436)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(13,436)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i/>
                <w:color w:val="000000"/>
                <w:sz w:val="18"/>
              </w:rPr>
            </w:pPr>
            <w:r>
              <w:rPr>
                <w:rFonts w:ascii="Arial;sans-serif" w:hAnsi="Arial;sans-serif"/>
                <w:b/>
                <w:i/>
                <w:color w:val="000000"/>
                <w:sz w:val="18"/>
              </w:rPr>
              <w:t>For the three months ended June 30, 2025</w:t>
            </w:r>
          </w:p>
        </w:tc>
        <w:tc>
          <w:tcPr>
            <w:tcW w:w="11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Property, plant and equipment additions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Loss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(442)</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(243)</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(3,415)</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(4,100)</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Exploration expenditures</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(2,092)</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(2,198)</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6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2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2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31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67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(6,854)</w:t>
            </w:r>
          </w:p>
        </w:tc>
        <w:tc>
          <w:tcPr>
            <w:tcW w:w="326"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(6,854)</w:t>
            </w:r>
          </w:p>
        </w:tc>
        <w:tc>
          <w:tcPr>
            <w:tcW w:w="237" w:type="dxa"/>
            <w:tcBorders>
              <w:bottom w:val="single" w:sz="4"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non-current assets are segmented geographically as follows:</w:t>
      </w:r>
    </w:p>
    <w:tbl>
      <w:tblPr>
        <w:tblW w:w="6043" w:type="dxa"/>
        <w:jc w:val="left"/>
        <w:tblInd w:w="0" w:type="dxa"/>
        <w:tblLayout w:type="fixed"/>
        <w:tblCellMar>
          <w:top w:w="28" w:type="dxa"/>
          <w:left w:w="28" w:type="dxa"/>
          <w:bottom w:w="28" w:type="dxa"/>
          <w:right w:w="28" w:type="dxa"/>
        </w:tblCellMar>
      </w:tblPr>
      <w:tblGrid>
        <w:gridCol w:w="793"/>
        <w:gridCol w:w="697"/>
        <w:gridCol w:w="699"/>
        <w:gridCol w:w="549"/>
        <w:gridCol w:w="549"/>
        <w:gridCol w:w="551"/>
        <w:gridCol w:w="413"/>
        <w:gridCol w:w="413"/>
        <w:gridCol w:w="316"/>
        <w:gridCol w:w="413"/>
        <w:gridCol w:w="413"/>
        <w:gridCol w:w="237"/>
      </w:tblGrid>
      <w:tr>
        <w:trPr/>
        <w:tc>
          <w:tcPr>
            <w:tcW w:w="7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89"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Outside Argentina</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w:t>
            </w:r>
          </w:p>
        </w:tc>
        <w:tc>
          <w:tcPr>
            <w:tcW w:w="1142"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Argentina</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w:t>
            </w:r>
          </w:p>
        </w:tc>
        <w:tc>
          <w:tcPr>
            <w:tcW w:w="1063"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Total</w:t>
            </w:r>
          </w:p>
          <w:p>
            <w:pPr>
              <w:pStyle w:val="TableContents"/>
              <w:bidi w:val="0"/>
              <w:spacing w:lineRule="auto" w:line="276" w:before="14" w:after="283"/>
              <w:jc w:val="right"/>
              <w:rPr>
                <w:rFonts w:ascii="Arial;sans-serif" w:hAnsi="Arial;sans-serif"/>
                <w:b/>
                <w:color w:val="000000"/>
                <w:sz w:val="18"/>
              </w:rPr>
            </w:pPr>
            <w:r>
              <w:rPr>
                <w:rFonts w:ascii="Arial;sans-serif" w:hAnsi="Arial;sans-serif"/>
                <w:b/>
                <w:color w:val="000000"/>
                <w:sz w:val="18"/>
              </w:rPr>
              <w:t>$</w:t>
            </w:r>
          </w:p>
        </w:tc>
      </w:tr>
      <w:tr>
        <w:trPr/>
        <w:tc>
          <w:tcPr>
            <w:tcW w:w="2189" w:type="dxa"/>
            <w:gridSpan w:val="3"/>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left"/>
              <w:rPr/>
            </w:pPr>
            <w:r>
              <w:rPr>
                <w:rFonts w:ascii="Arial;sans-serif" w:hAnsi="Arial;sans-serif"/>
                <w:b w:val="false"/>
                <w:i/>
                <w:color w:val="000000"/>
                <w:sz w:val="18"/>
              </w:rPr>
              <w:t xml:space="preserve">Non-current assets </w:t>
            </w:r>
            <w:r>
              <w:rPr>
                <w:rFonts w:ascii="Arial;sans-serif" w:hAnsi="Arial;sans-serif"/>
                <w:b w:val="false"/>
                <w:i/>
                <w:color w:val="000000"/>
                <w:sz w:val="12"/>
              </w:rPr>
              <w:t>(1)</w:t>
            </w:r>
          </w:p>
        </w:tc>
        <w:tc>
          <w:tcPr>
            <w:tcW w:w="164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shd w:fill="DDDDDD"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June 30, 2026</w:t>
            </w:r>
          </w:p>
        </w:tc>
        <w:tc>
          <w:tcPr>
            <w:tcW w:w="1098"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274 </w:t>
            </w:r>
          </w:p>
        </w:tc>
        <w:tc>
          <w:tcPr>
            <w:tcW w:w="551"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477,569 </w:t>
            </w:r>
          </w:p>
        </w:tc>
        <w:tc>
          <w:tcPr>
            <w:tcW w:w="316"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DDDDDD"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477,843 </w:t>
            </w:r>
          </w:p>
        </w:tc>
        <w:tc>
          <w:tcPr>
            <w:tcW w:w="237" w:type="dxa"/>
            <w:tcBorders/>
            <w:shd w:fill="DDDDD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89" w:type="dxa"/>
            <w:gridSpan w:val="3"/>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As at December 31, 2025</w:t>
            </w:r>
          </w:p>
        </w:tc>
        <w:tc>
          <w:tcPr>
            <w:tcW w:w="1098"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551"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443,408 </w:t>
            </w:r>
          </w:p>
        </w:tc>
        <w:tc>
          <w:tcPr>
            <w:tcW w:w="316"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4"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443,751 </w:t>
            </w:r>
          </w:p>
        </w:tc>
        <w:tc>
          <w:tcPr>
            <w:tcW w:w="237" w:type="dxa"/>
            <w:tcBorders>
              <w:bottom w:val="single" w:sz="4"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90"/>
        <w:jc w:val="left"/>
        <w:rPr/>
      </w:pPr>
      <w:r>
        <w:rPr>
          <w:rFonts w:ascii="Arial;sans-serif" w:hAnsi="Arial;sans-serif"/>
          <w:b w:val="false"/>
          <w:color w:val="000000"/>
          <w:sz w:val="10"/>
        </w:rPr>
        <w:t>1</w:t>
      </w:r>
      <w:r>
        <w:rPr>
          <w:rFonts w:ascii="Arial;sans-serif" w:hAnsi="Arial;sans-serif"/>
          <w:b w:val="false"/>
          <w:color w:val="000000"/>
          <w:sz w:val="16"/>
        </w:rPr>
        <w:t>Non-current assets attributed to geographical locations exclude financial and other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20.INCOME TAXES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January 2025, the Company completed its corporate continuation from Canada to Switzerland. As a result, the corporate headquarters is subject to Swiss taxation, and Canadian tax losses and other Canadian tax attributes are no longer available to offset future taxable income at the corporate level. The Company continues to be subject to income taxes in other jurisdictions through its subsidiaries.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recognized a deferred tax asset of $11 related to a Canadian subsidiary. During the six months ended June 30, 2026, the Company recognized a deferred tax recovery of $431 related to an Argentine subsidiary, which resulted in the full reversal of the deferred tax liability recognized as at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803910"/>
                <wp:effectExtent l="0" t="0" r="0" b="0"/>
                <wp:wrapNone/>
                <wp:docPr id="79" name="Frame30"/>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0"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6" descr=""/>
                                                <pic:cNvPicPr>
                                                  <a:picLocks noChangeAspect="1" noChangeArrowheads="1"/>
                                                </pic:cNvPicPr>
                                              </pic:nvPicPr>
                                              <pic:blipFill>
                                                <a:blip r:embed="rId51"/>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6" descr=""/>
                                          <pic:cNvPicPr>
                                            <a:picLocks noChangeAspect="1" noChangeArrowheads="1"/>
                                          </pic:cNvPicPr>
                                        </pic:nvPicPr>
                                        <pic:blipFill>
                                          <a:blip r:embed="rId52"/>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25</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21.FINANCIAL INSTRUMENTS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Financial instruments recorded at fair value on the consolidated statements of financial position and presented in fair value disclosures are classified using a fair value hierarchy that reflects the significance of the inputs used in making the measurements. The fair value hierarchy has the following levels: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2 – Inputs other than quoted prices that are observable for assets or liabilities, either directly or indirectly; and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3 – Inputs for assets and liabilities that are not based on observable market data.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fair value hierarchy requires the use of observable market inputs whenever such inputs are available. A financial instrument is classified at the lowest level of the hierarchy for which a significant input has been used in measuring fair value.</w:t>
      </w:r>
    </w:p>
    <w:tbl>
      <w:tblPr>
        <w:tblW w:w="5621" w:type="dxa"/>
        <w:jc w:val="left"/>
        <w:tblInd w:w="0" w:type="dxa"/>
        <w:tblLayout w:type="fixed"/>
        <w:tblCellMar>
          <w:top w:w="28" w:type="dxa"/>
          <w:left w:w="28" w:type="dxa"/>
          <w:bottom w:w="28" w:type="dxa"/>
          <w:right w:w="28" w:type="dxa"/>
        </w:tblCellMar>
      </w:tblPr>
      <w:tblGrid>
        <w:gridCol w:w="1245"/>
        <w:gridCol w:w="1093"/>
        <w:gridCol w:w="1096"/>
        <w:gridCol w:w="109"/>
        <w:gridCol w:w="109"/>
        <w:gridCol w:w="109"/>
        <w:gridCol w:w="543"/>
        <w:gridCol w:w="543"/>
        <w:gridCol w:w="77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Fair value hierarchy</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instruments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Convertible notes - embedded derivative</w:t>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Level 2</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embedded derivative associated with the Convertible Notes (Note 12) is measured at fair value on a recurring basis and is classified within Level 2 as the valuation is based on observable market inputs, including the Company’s quoted share price, observable volatility, risk-free interest rates and market derived credit spread.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long-term receivable from JEMSE (Note 6) was measured at fair value upon initial recognition and is subsequently accounted for at amortized cost. The fair value at initial recognition was determined using unobservable inputs, including assumptions regarding the timing of future cash flows of Minera Exar and the applicable discount rate, and is classified within Level 3 of the fair value hierarchy.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financial assets and financial liabilities measured at amortized cost include cash and cash equivalents, receivables from purchasers for lithium carbonate, loans to Exar Capital, other receivables, accounts payable and accrued liabilities, payable to Minera Exar for lithium carbonate purchases, and the debt host component of the Convertible Notes.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fair value of such financial instruments measured at amortized cost approximated their carrying value.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manages risks to minimize potential losses. The primary objective of the Company’s risk management process is to ensure that the risks are properly identified and monitored, and that the capital base maintained by the Company is adequate in relation to those risks. The principal risks impacting the Company’s financial instruments are described below.</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Credit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Credit risk is the risk of loss associated with a counterparty’s inability to fulfill its payment obligations. Financial instruments that potentially subject the Company to a concentration of credit risk consist primarily of cash, cash equivalents, receivables from Ganfeng for purchases of lithium carbonate, long-term receivable from JEMSE, and receivables related to loans advanced to Exar Capital (refer Notes 6, 7, and 8).</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03910"/>
                <wp:effectExtent l="0" t="0" r="0" b="0"/>
                <wp:wrapNone/>
                <wp:docPr id="82" name="Frame31"/>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7" descr=""/>
                                                <pic:cNvPicPr>
                                                  <a:picLocks noChangeAspect="1" noChangeArrowheads="1"/>
                                                </pic:cNvPicPr>
                                              </pic:nvPicPr>
                                              <pic:blipFill>
                                                <a:blip r:embed="rId53"/>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7" descr=""/>
                                          <pic:cNvPicPr>
                                            <a:picLocks noChangeAspect="1" noChangeArrowheads="1"/>
                                          </pic:cNvPicPr>
                                        </pic:nvPicPr>
                                        <pic:blipFill>
                                          <a:blip r:embed="rId54"/>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26</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21.FINANCIAL INSTRUMENTS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Company’s maximum exposure to credit risk for cash, cash equivalents, receivables, long-term receivable from JEMSE, and loans to Exar Capital is the amount disclosed in the consolidated statements of financial position.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limits its exposure to credit loss on cash and cash equivalents by placing its cash and cash equivalents with major financial institutions and investing in only short-term obligations, with expected credit losses on cash and cash equivalents estimated to be de minimis. As of June 30, 2026, the Company held its cash and cash equivalents with three financial institutions, improving diversification and enhancing overall liquidity management. The Company has assessed the creditworthiness of these institutions and believes that the risk of default is minimal, given its credit rating.</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actively monitors credit exposure to Minera Exar and Exar Capital, which are related parties involved in the Cauchari-Olaroz Project. Management reviews their financial position regularly and, given the strategic nature of these relationships and the support from project partners, ensures that credit risk on these balances is maintained at acceptable levels.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performed an expected credit loss assessment on its loans to Exar Capital as at June 30, 2026. Based on this assessment, management concluded that the expected credit losses were insignificant and, accordingly, no expected credit loss was recognized.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and its subsidiaries and investees, including Minera Exar, may from time to time make short term investments in Argentine government securities, financial instruments guaranteed by Argentine banks, and other Argentine securities. These investments may or may not result in short-term gains or losses.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Central Bank of Argentina maintains certain currency controls that limit the Company's ability to remit cash to and from Argentina. Blue Chip Swap transactions effectively allow companies to transfer U.S. dollars into and out of Argentina at market exchange rates. The Company used this mechanism to transfer funds to and out of Argentina, which resulted in a foreign exchange gain or loss due to the difference between the Blue Chip Swap market rate and the official Argentine Central Bank rate.</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Liquidity Risk (refer to Note 1 for additional details)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Liquidity risk is the risk that the Company will not be able to meet its financial obligations as they come due. The Company’s approach to managing liquidity is to evaluate current and expected liquidity requirements under both normal and stressed conditions, in order to estimate and maintain sufficient cash and cash equivalent reserves to meet liquidity requirements in both the short and long term. The Company prepares annual budgets, which are regularly monitored and updated as necessary.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March 2026, the Company entered into a six-year $130,000 debt facility with Ganfeng bearing interest at SOFR plus 2.5%. The Debt Facility is secured by the Company’s equity interest in a proposed joint venture between the Company and Ganfeng intended to consolidate their respective interests in the Pozuelos-Pastos Grandes and Sal de la Puna lithium brine projects located in Salta, Argentina (the “New JV”). The Debt Facility may be prepaid without penalty and is available to refinance existing corporate debt.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Under the terms of the Debt Facility, the earliest drawdown date is Q4 2026. Following drawdown, if the Company receives distributions from Minera Exar exceeding $20,000 in any fiscal year, it must apply 50% of the excess toward repayment of the Debt Facility. The Company has agreed to allocate up to 50% of its offtake from the initial development phase of the New JV, capped at 6,000 tonnes per annum of lithium carbonate equivalent, to Ganfeng at market prices.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 xml:space="preserve">LITHIUM ARGENTINA AG </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03910"/>
                <wp:effectExtent l="0" t="0" r="0" b="0"/>
                <wp:wrapNone/>
                <wp:docPr id="85" name="Frame32"/>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r>
                                    <w:br w:type="page"/>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8" descr=""/>
                                                <pic:cNvPicPr>
                                                  <a:picLocks noChangeAspect="1" noChangeArrowheads="1"/>
                                                </pic:cNvPicPr>
                                              </pic:nvPicPr>
                                              <pic:blipFill>
                                                <a:blip r:embed="rId55"/>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8" descr=""/>
                                          <pic:cNvPicPr>
                                            <a:picLocks noChangeAspect="1" noChangeArrowheads="1"/>
                                          </pic:cNvPicPr>
                                        </pic:nvPicPr>
                                        <pic:blipFill>
                                          <a:blip r:embed="rId56"/>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27</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NOTES TO THE CONDENSED CONSOLIDATED INTERIM FINANCIAL STATEMENTS</w:t>
      </w:r>
    </w:p>
    <w:p>
      <w:pPr>
        <w:pStyle w:val="TextBody"/>
        <w:bidi w:val="0"/>
        <w:spacing w:lineRule="auto" w:line="288" w:before="0" w:after="0"/>
        <w:jc w:val="left"/>
        <w:rPr>
          <w:rFonts w:ascii="Arial;sans-serif" w:hAnsi="Arial;sans-serif"/>
          <w:b/>
          <w:color w:val="153A57"/>
          <w:sz w:val="20"/>
        </w:rPr>
      </w:pPr>
      <w:r>
        <w:rPr>
          <w:rFonts w:ascii="Arial;sans-serif" w:hAnsi="Arial;sans-serif"/>
          <w:b/>
          <w:color w:val="153A57"/>
          <w:sz w:val="20"/>
        </w:rPr>
        <w:t>FOR THE THREE AND SIX MONTHS ENDED JUNE 30, 2026</w:t>
      </w:r>
    </w:p>
    <w:p>
      <w:pPr>
        <w:pStyle w:val="TextBody"/>
        <w:bidi w:val="0"/>
        <w:spacing w:lineRule="auto" w:line="288" w:before="0" w:after="200"/>
        <w:jc w:val="left"/>
        <w:rPr>
          <w:rFonts w:ascii="Arial;sans-serif" w:hAnsi="Arial;sans-serif"/>
          <w:b w:val="false"/>
          <w:color w:val="153A57"/>
          <w:sz w:val="19"/>
        </w:rPr>
      </w:pPr>
      <w:r>
        <w:rPr>
          <w:rFonts w:ascii="Arial;sans-serif" w:hAnsi="Arial;sans-serif"/>
          <w:b w:val="false"/>
          <w:color w:val="153A57"/>
          <w:sz w:val="19"/>
        </w:rPr>
        <w:t>(Expressed in thousands of US dollars, except for per share amounts; shares and equity instruments in thousands)</w:t>
      </w:r>
    </w:p>
    <w:p>
      <w:pPr>
        <w:pStyle w:val="TextBody"/>
        <w:bidi w:val="0"/>
        <w:spacing w:lineRule="auto" w:line="288" w:before="0" w:after="0"/>
        <w:ind w:left="0" w:right="0" w:hanging="720"/>
        <w:jc w:val="left"/>
        <w:rPr/>
      </w:pPr>
      <w:r>
        <w:rPr>
          <w:rFonts w:ascii="Arial;sans-serif" w:hAnsi="Arial;sans-serif"/>
          <w:b/>
          <w:color w:val="153A57"/>
          <w:sz w:val="20"/>
        </w:rPr>
        <w:t xml:space="preserve">21.FINANCIAL INSTRUMENTS </w:t>
      </w:r>
      <w:r>
        <w:rPr>
          <w:rFonts w:ascii="Arial;sans-serif" w:hAnsi="Arial;sans-serif"/>
          <w:b w:val="false"/>
          <w:i/>
          <w:color w:val="153A57"/>
          <w:sz w:val="20"/>
        </w:rPr>
        <w:t>(continued)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a cash and cash equivalents balance of $99,716 and receivables from purchasers for lithium carbonate of $46,109 available to settle current liabilities of $311,838, which include the equity-settleable convertible notes with a carrying value of $248,656 (face value of $258,750) maturing in January 2027 (Note 12). Refer to Note 1, which outlines the Company’s current expectation to fund its obligations, including the convertible notes, through available liquidity and other sources.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contractual maturities of the Company’s financial liabilities on an undiscounted basis:</w:t>
      </w:r>
    </w:p>
    <w:p>
      <w:pPr>
        <w:pStyle w:val="TextBody"/>
        <w:bidi w:val="0"/>
        <w:spacing w:before="0" w:after="0"/>
        <w:jc w:val="both"/>
        <w:rPr/>
      </w:pPr>
      <w:r>
        <w:rPr/>
      </w:r>
    </w:p>
    <w:tbl>
      <w:tblPr>
        <w:tblW w:w="6960" w:type="dxa"/>
        <w:jc w:val="left"/>
        <w:tblInd w:w="0" w:type="dxa"/>
        <w:tblLayout w:type="fixed"/>
        <w:tblCellMar>
          <w:top w:w="28" w:type="dxa"/>
          <w:left w:w="28" w:type="dxa"/>
          <w:bottom w:w="28" w:type="dxa"/>
          <w:right w:w="28" w:type="dxa"/>
        </w:tblCellMar>
      </w:tblPr>
      <w:tblGrid>
        <w:gridCol w:w="1234"/>
        <w:gridCol w:w="1082"/>
        <w:gridCol w:w="1089"/>
        <w:gridCol w:w="470"/>
        <w:gridCol w:w="271"/>
        <w:gridCol w:w="271"/>
        <w:gridCol w:w="440"/>
        <w:gridCol w:w="440"/>
        <w:gridCol w:w="440"/>
        <w:gridCol w:w="548"/>
        <w:gridCol w:w="278"/>
        <w:gridCol w:w="397"/>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1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9"/>
            <w:tcBorders>
              <w:top w:val="single" w:sz="18" w:space="0" w:color="153A57"/>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8"/>
              </w:rPr>
            </w:pPr>
            <w:r>
              <w:rPr>
                <w:rFonts w:ascii="Arial;sans-serif" w:hAnsi="Arial;sans-serif"/>
                <w:b/>
                <w:color w:val="000000"/>
                <w:sz w:val="18"/>
              </w:rPr>
              <w:t xml:space="preserve">Years ending December 31, </w:t>
            </w:r>
          </w:p>
        </w:tc>
      </w:tr>
      <w:tr>
        <w:trPr/>
        <w:tc>
          <w:tcPr>
            <w:tcW w:w="340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2026</w:t>
            </w:r>
          </w:p>
        </w:tc>
        <w:tc>
          <w:tcPr>
            <w:tcW w:w="132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2027 and later</w:t>
            </w:r>
          </w:p>
        </w:tc>
        <w:tc>
          <w:tcPr>
            <w:tcW w:w="1223"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Total</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320"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c>
          <w:tcPr>
            <w:tcW w:w="1223"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w:t>
            </w:r>
          </w:p>
        </w:tc>
      </w:tr>
      <w:tr>
        <w:trPr/>
        <w:tc>
          <w:tcPr>
            <w:tcW w:w="3405"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Convertible senior notes</w:t>
            </w:r>
          </w:p>
        </w:tc>
        <w:tc>
          <w:tcPr>
            <w:tcW w:w="741"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2,264 </w:t>
            </w:r>
          </w:p>
        </w:tc>
        <w:tc>
          <w:tcPr>
            <w:tcW w:w="271"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261,014 </w:t>
            </w:r>
          </w:p>
        </w:tc>
        <w:tc>
          <w:tcPr>
            <w:tcW w:w="440"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263,278 </w:t>
            </w:r>
          </w:p>
        </w:tc>
        <w:tc>
          <w:tcPr>
            <w:tcW w:w="397" w:type="dxa"/>
            <w:tcBorders>
              <w:top w:val="single" w:sz="4"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7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60,829 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60,829 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Obligations under office leases¹</w:t>
            </w:r>
          </w:p>
        </w:tc>
        <w:tc>
          <w:tcPr>
            <w:tcW w:w="7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459 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3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741"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63,231 </w:t>
            </w:r>
          </w:p>
        </w:tc>
        <w:tc>
          <w:tcPr>
            <w:tcW w:w="271"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261,473 </w:t>
            </w:r>
          </w:p>
        </w:tc>
        <w:tc>
          <w:tcPr>
            <w:tcW w:w="440"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324,704 </w:t>
            </w:r>
          </w:p>
        </w:tc>
        <w:tc>
          <w:tcPr>
            <w:tcW w:w="397" w:type="dxa"/>
            <w:tcBorders>
              <w:top w:val="single" w:sz="4" w:space="0" w:color="000000"/>
              <w:bottom w:val="single" w:sz="4"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72"/>
        <w:jc w:val="left"/>
        <w:rPr/>
      </w:pPr>
      <w:r>
        <w:rPr>
          <w:rFonts w:ascii="Arial;sans-serif" w:hAnsi="Arial;sans-serif"/>
          <w:b w:val="false"/>
          <w:color w:val="000000"/>
          <w:sz w:val="12"/>
        </w:rPr>
        <w:t>1</w:t>
      </w:r>
      <w:r>
        <w:rPr>
          <w:rFonts w:ascii="Arial;sans-serif" w:hAnsi="Arial;sans-serif"/>
          <w:b w:val="false"/>
          <w:i/>
          <w:color w:val="000000"/>
          <w:sz w:val="18"/>
        </w:rPr>
        <w:t>Include principal and interest/finance charges.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were classified as current liabilities as at June 30, 2026, since the Notes are convertible at the option of the holders upon satisfaction of certain conditions that are beyond the control of the Company. If such conditions are satisfied, the Notes would be convertible at the option of the holders and upon conversion, the Notes may be settled, at the Company’s election, in common shares of the Company, cash or a combination thereof (Note 12). The Convertible Notes mature on January 15, 2027, which is less than twelve months of the issuance date of these financial statements.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above table summarizes the contractual maturities as at June 30, 2026, with respect to the Convertible Notes assuming such conditions will not be satisfied before the due date.</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Market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Market risk encompasses a range of risks. Movement in risk factors, such as market price risk, the Company’s share price, and currency risk, can affect the fair values of financial assets and liabilities. The Company is exposed to foreign currency risk, as described below.</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operations in foreign countries are subject to currency fluctuations, which may affect its financial results.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and its subsidiaries and associates have a US dollar functional currency, and it incurs expenditures in Canadian dollars (“CDN$”), Argentine Pesos (“ARS$”), Swiss francs (“CHF”) and US$, with the majority of the expenditures being incurred in US$ by the Company’s subsidiaries and investees. As at June 30, 2026, the Company did not hold significant amounts of cash and cash equivalents denominated in CDN$, ARS$, and CHF.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Arial;sans-serif" w:hAnsi="Arial;sans-serif"/>
          <w:b/>
          <w:color w:val="153A57"/>
          <w:sz w:val="20"/>
        </w:rPr>
      </w:pPr>
      <w:r>
        <w:rPr>
          <w:rFonts w:ascii="Arial;sans-serif" w:hAnsi="Arial;sans-serif"/>
          <w:b/>
          <w:color w:val="153A57"/>
          <w:sz w:val="20"/>
        </w:rPr>
        <w:t>22.SUBSEQUENT EVENT</w:t>
      </w:r>
    </w:p>
    <w:p>
      <w:pPr>
        <w:pStyle w:val="TextBody"/>
        <w:bidi w:val="0"/>
        <w:spacing w:lineRule="auto" w:line="268" w:before="0" w:after="0"/>
        <w:ind w:left="0" w:right="0" w:hanging="720"/>
        <w:jc w:val="left"/>
        <w:rPr/>
      </w:pPr>
      <w:r>
        <w:rPr>
          <w:color w:val="000000"/>
        </w:rPr>
        <w:t>•</w:t>
      </w:r>
      <w:r>
        <w:rPr>
          <w:rFonts w:ascii="Arial;sans-serif" w:hAnsi="Arial;sans-serif"/>
          <w:b w:val="false"/>
          <w:color w:val="000000"/>
          <w:sz w:val="20"/>
        </w:rPr>
        <w:t>Subsequent to June 30, 2026, LAR received $27,400 from Exar Capital as a repayment of a portion of outstanding loan and related interest.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03910"/>
                <wp:effectExtent l="0" t="0" r="0" b="0"/>
                <wp:wrapNone/>
                <wp:docPr id="88" name="Frame33"/>
                <a:graphic xmlns:a="http://schemas.openxmlformats.org/drawingml/2006/main">
                  <a:graphicData uri="http://schemas.microsoft.com/office/word/2010/wordprocessingShape">
                    <wps:wsp>
                      <wps:cNvSpPr txBox="1"/>
                      <wps:spPr>
                        <a:xfrm>
                          <a:off x="0" y="0"/>
                          <a:ext cx="6480175" cy="803910"/>
                        </a:xfrm>
                        <a:prstGeom prst="rect"/>
                        <a:solidFill>
                          <a:srgbClr val="FFFFFF"/>
                        </a:solidFill>
                      </wps:spPr>
                      <wps:txb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8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9" descr=""/>
                                                <pic:cNvPicPr>
                                                  <a:picLocks noChangeAspect="1" noChangeArrowheads="1"/>
                                                </pic:cNvPicPr>
                                              </pic:nvPicPr>
                                              <pic:blipFill>
                                                <a:blip r:embed="rId57"/>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3pt;mso-wrap-distance-left:0pt;mso-wrap-distance-right:0pt;mso-wrap-distance-top:0pt;mso-wrap-distance-bottom:0pt;margin-top:0pt;mso-position-vertical:top;mso-position-vertical-relative:text;margin-left:0pt;mso-position-horizontal:left;mso-position-horizontal-relative:text">
                <v:textbox>
                  <w:txbxContent>
                    <w:tbl>
                      <w:tblPr>
                        <w:tblW w:w="3098" w:type="dxa"/>
                        <w:jc w:val="left"/>
                        <w:tblInd w:w="0" w:type="dxa"/>
                        <w:tblLayout w:type="fixed"/>
                        <w:tblCellMar>
                          <w:top w:w="28" w:type="dxa"/>
                          <w:left w:w="28" w:type="dxa"/>
                          <w:bottom w:w="28" w:type="dxa"/>
                          <w:right w:w="28" w:type="dxa"/>
                        </w:tblCellMar>
                      </w:tblPr>
                      <w:tblGrid>
                        <w:gridCol w:w="988"/>
                        <w:gridCol w:w="868"/>
                        <w:gridCol w:w="870"/>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666875" cy="190500"/>
                                  <wp:effectExtent l="0" t="0" r="0" b="0"/>
                                  <wp:docPr id="9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9" descr=""/>
                                          <pic:cNvPicPr>
                                            <a:picLocks noChangeAspect="1" noChangeArrowheads="1"/>
                                          </pic:cNvPicPr>
                                        </pic:nvPicPr>
                                        <pic:blipFill>
                                          <a:blip r:embed="rId58"/>
                                          <a:stretch>
                                            <a:fillRect/>
                                          </a:stretch>
                                        </pic:blipFill>
                                        <pic:spPr bwMode="auto">
                                          <a:xfrm>
                                            <a:off x="0" y="0"/>
                                            <a:ext cx="1666875" cy="19050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28</w:t>
                            </w:r>
                          </w:p>
                        </w:tc>
                      </w:tr>
                      <w:tr>
                        <w:trPr/>
                        <w:tc>
                          <w:tcPr>
                            <w:tcW w:w="2726" w:type="dxa"/>
                            <w:gridSpan w:val="3"/>
                            <w:vMerge w:val="continue"/>
                            <w:tcBorders/>
                            <w:tcMar>
                              <w:top w:w="0" w:type="dxa"/>
                              <w:left w:w="0" w:type="dxa"/>
                              <w:bottom w:w="0" w:type="dxa"/>
                              <w:right w:w="0" w:type="dxa"/>
                            </w:tcMar>
                            <w:vAlign w:val="center"/>
                          </w:tcPr>
                          <w:p>
                            <w:pPr>
                              <w:pStyle w:val="Normal"/>
                              <w:bidi w:val="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3600"/>
        <w:jc w:val="right"/>
        <w:rPr/>
      </w:pPr>
      <w:r>
        <w:rPr/>
      </w:r>
    </w:p>
    <w:tbl>
      <w:tblPr>
        <w:tblW w:w="6929" w:type="dxa"/>
        <w:jc w:val="center"/>
        <w:tblInd w:w="0" w:type="dxa"/>
        <w:tblLayout w:type="fixed"/>
        <w:tblCellMar>
          <w:top w:w="28" w:type="dxa"/>
          <w:left w:w="28" w:type="dxa"/>
          <w:bottom w:w="28" w:type="dxa"/>
          <w:right w:w="28" w:type="dxa"/>
        </w:tblCellMar>
      </w:tblPr>
      <w:tblGrid>
        <w:gridCol w:w="2219"/>
        <w:gridCol w:w="1951"/>
        <w:gridCol w:w="2759"/>
      </w:tblGrid>
      <w:tr>
        <w:trPr/>
        <w:tc>
          <w:tcPr>
            <w:tcW w:w="221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3886200" cy="676275"/>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59"/>
                          <a:stretch>
                            <a:fillRect/>
                          </a:stretch>
                        </pic:blipFill>
                        <pic:spPr bwMode="auto">
                          <a:xfrm>
                            <a:off x="0" y="0"/>
                            <a:ext cx="3886200" cy="676275"/>
                          </a:xfrm>
                          <a:prstGeom prst="rect">
                            <a:avLst/>
                          </a:prstGeom>
                        </pic:spPr>
                      </pic:pic>
                    </a:graphicData>
                  </a:graphic>
                </wp:inline>
              </w:drawing>
            </w:r>
          </w:p>
        </w:tc>
      </w:tr>
      <w:tr>
        <w:trPr/>
        <w:tc>
          <w:tcPr>
            <w:tcW w:w="6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4"/>
              </w:rPr>
            </w:pPr>
            <w:r>
              <w:rPr>
                <w:rFonts w:ascii="Arial;sans-serif" w:hAnsi="Arial;sans-serif"/>
                <w:b/>
                <w:color w:val="000000"/>
                <w:sz w:val="24"/>
              </w:rPr>
              <w:t>MANAGEMENT'S DISCUSSION AND ANALYSIS</w:t>
              <w:br/>
              <w:t>FOR THE THREE AND SIX MONTHS ENDED JUNE 30, 2026</w:t>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53A57"/>
                <w:sz w:val="24"/>
              </w:rPr>
            </w:pPr>
            <w:r>
              <w:rPr>
                <w:rFonts w:ascii="Arial;sans-serif" w:hAnsi="Arial;sans-serif"/>
                <w:b/>
                <w:color w:val="153A57"/>
                <w:sz w:val="24"/>
              </w:rPr>
              <w:t>(Expressed in US Dollars)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095500" cy="2381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60"/>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3"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BACKGROUND</w:t>
      </w:r>
    </w:p>
    <w:p>
      <w:pPr>
        <w:pStyle w:val="TextBody"/>
        <w:bidi w:val="0"/>
        <w:spacing w:lineRule="auto" w:line="288" w:before="0" w:after="200"/>
        <w:jc w:val="both"/>
        <w:rPr/>
      </w:pPr>
      <w:r>
        <w:rPr>
          <w:rFonts w:ascii="Arial;sans-serif" w:hAnsi="Arial;sans-serif"/>
          <w:b w:val="false"/>
          <w:color w:val="000000"/>
          <w:sz w:val="20"/>
        </w:rPr>
        <w:t>Lithium Argentina AG (“</w:t>
      </w:r>
      <w:r>
        <w:rPr>
          <w:rFonts w:ascii="Arial;sans-serif" w:hAnsi="Arial;sans-serif"/>
          <w:b/>
          <w:color w:val="000000"/>
          <w:sz w:val="20"/>
        </w:rPr>
        <w:t>Lithium Argentina</w:t>
      </w:r>
      <w:r>
        <w:rPr>
          <w:color w:val="000000"/>
        </w:rPr>
        <w:t>”</w:t>
      </w:r>
      <w:r>
        <w:rPr>
          <w:rFonts w:ascii="Arial;sans-serif" w:hAnsi="Arial;sans-serif"/>
          <w:b w:val="false"/>
          <w:color w:val="000000"/>
          <w:sz w:val="20"/>
        </w:rPr>
        <w:t>, the “</w:t>
      </w:r>
      <w:r>
        <w:rPr>
          <w:rFonts w:ascii="Arial;sans-serif" w:hAnsi="Arial;sans-serif"/>
          <w:b/>
          <w:color w:val="000000"/>
          <w:sz w:val="20"/>
        </w:rPr>
        <w:t>Company</w:t>
      </w:r>
      <w:r>
        <w:rPr>
          <w:color w:val="000000"/>
        </w:rPr>
        <w:t xml:space="preserve">” </w:t>
      </w:r>
      <w:r>
        <w:rPr>
          <w:rFonts w:ascii="Arial;sans-serif" w:hAnsi="Arial;sans-serif"/>
          <w:b w:val="false"/>
          <w:color w:val="000000"/>
          <w:sz w:val="20"/>
        </w:rPr>
        <w:t>or “</w:t>
      </w:r>
      <w:r>
        <w:rPr>
          <w:rFonts w:ascii="Arial;sans-serif" w:hAnsi="Arial;sans-serif"/>
          <w:b/>
          <w:color w:val="000000"/>
          <w:sz w:val="20"/>
        </w:rPr>
        <w:t>LAR</w:t>
      </w:r>
      <w:r>
        <w:rPr>
          <w:color w:val="000000"/>
        </w:rPr>
        <w:t>”</w:t>
      </w:r>
      <w:r>
        <w:rPr>
          <w:rFonts w:ascii="Arial;sans-serif" w:hAnsi="Arial;sans-serif"/>
          <w:b w:val="false"/>
          <w:color w:val="000000"/>
          <w:sz w:val="20"/>
        </w:rPr>
        <w:t>), is a Swiss-domiciled resource company with lithium projects located in Argentina. The Company’s head office and principal address is Dammstrasse 19, 6300 Zug, Switzerland. On January 23, 2025, the Company completed a plan of arrangement under the laws of the province of British Columbia (the “</w:t>
      </w:r>
      <w:r>
        <w:rPr>
          <w:rFonts w:ascii="Arial;sans-serif" w:hAnsi="Arial;sans-serif"/>
          <w:b/>
          <w:color w:val="000000"/>
          <w:sz w:val="20"/>
        </w:rPr>
        <w:t>Arrangement</w:t>
      </w:r>
      <w:r>
        <w:rPr>
          <w:color w:val="000000"/>
        </w:rPr>
        <w:t>”</w:t>
      </w:r>
      <w:r>
        <w:rPr>
          <w:rFonts w:ascii="Arial;sans-serif" w:hAnsi="Arial;sans-serif"/>
          <w:b w:val="false"/>
          <w:color w:val="000000"/>
          <w:sz w:val="20"/>
        </w:rPr>
        <w:t>) involving the Company’s continuation from the province of British Columbia under the name “Lithium Americas (Argentina) Corp.” into Zug, Canton of Zug, Switzerland, as a Swiss share corporation under the name “Lithium Argentina AG”. As a result, the Company ceased to be governed by the Business Corporations Act (British Columbia). Following the Arrangement, the shareholders of the Company prior to the Arrangement continued to hold all the issued and outstanding registered common shares of the Company (the “</w:t>
      </w:r>
      <w:r>
        <w:rPr>
          <w:rFonts w:ascii="Arial;sans-serif" w:hAnsi="Arial;sans-serif"/>
          <w:b/>
          <w:color w:val="000000"/>
          <w:sz w:val="20"/>
        </w:rPr>
        <w:t>Continuation</w:t>
      </w:r>
      <w:r>
        <w:rPr>
          <w:color w:val="000000"/>
        </w:rPr>
        <w:t>”</w:t>
      </w:r>
      <w:r>
        <w:rPr>
          <w:rFonts w:ascii="Arial;sans-serif" w:hAnsi="Arial;sans-serif"/>
          <w:b w:val="false"/>
          <w:color w:val="000000"/>
          <w:sz w:val="20"/>
        </w:rPr>
        <w:t>). On January 27, 2025, the Company began trading under the new symbol “LAR” on the Toronto Stock Exchange (“</w:t>
      </w:r>
      <w:r>
        <w:rPr>
          <w:rFonts w:ascii="Arial;sans-serif" w:hAnsi="Arial;sans-serif"/>
          <w:b/>
          <w:color w:val="000000"/>
          <w:sz w:val="20"/>
        </w:rPr>
        <w:t>TSX</w:t>
      </w:r>
      <w:r>
        <w:rPr>
          <w:color w:val="000000"/>
        </w:rPr>
        <w:t>”</w:t>
      </w:r>
      <w:r>
        <w:rPr>
          <w:rFonts w:ascii="Arial;sans-serif" w:hAnsi="Arial;sans-serif"/>
          <w:b w:val="false"/>
          <w:color w:val="000000"/>
          <w:sz w:val="20"/>
        </w:rPr>
        <w:t>) and the New York Stock Exchange (“</w:t>
      </w:r>
      <w:r>
        <w:rPr>
          <w:rFonts w:ascii="Arial;sans-serif" w:hAnsi="Arial;sans-serif"/>
          <w:b/>
          <w:color w:val="000000"/>
          <w:sz w:val="20"/>
        </w:rPr>
        <w:t>NYSE</w:t>
      </w:r>
      <w:r>
        <w:rPr>
          <w:color w:val="000000"/>
        </w:rPr>
        <w:t>”</w:t>
      </w:r>
      <w:r>
        <w:rPr>
          <w:rFonts w:ascii="Arial;sans-serif" w:hAnsi="Arial;sans-serif"/>
          <w:b w:val="false"/>
          <w:color w:val="000000"/>
          <w:sz w:val="20"/>
        </w:rPr>
        <w:t>).</w:t>
      </w:r>
    </w:p>
    <w:p>
      <w:pPr>
        <w:pStyle w:val="TextBody"/>
        <w:bidi w:val="0"/>
        <w:spacing w:lineRule="auto" w:line="288" w:before="0" w:after="200"/>
        <w:jc w:val="both"/>
        <w:rPr/>
      </w:pPr>
      <w:r>
        <w:rPr>
          <w:rFonts w:ascii="Arial;sans-serif" w:hAnsi="Arial;sans-serif"/>
          <w:b w:val="false"/>
          <w:color w:val="000000"/>
          <w:sz w:val="20"/>
        </w:rPr>
        <w:t>This Management’s Discussion and Analysis (“</w:t>
      </w:r>
      <w:r>
        <w:rPr>
          <w:rFonts w:ascii="Arial;sans-serif" w:hAnsi="Arial;sans-serif"/>
          <w:b/>
          <w:color w:val="000000"/>
          <w:sz w:val="20"/>
        </w:rPr>
        <w:t>MD&amp;A</w:t>
      </w:r>
      <w:r>
        <w:rPr>
          <w:color w:val="000000"/>
        </w:rPr>
        <w:t>”</w:t>
      </w:r>
      <w:r>
        <w:rPr>
          <w:rFonts w:ascii="Arial;sans-serif" w:hAnsi="Arial;sans-serif"/>
          <w:b w:val="false"/>
          <w:color w:val="000000"/>
          <w:sz w:val="20"/>
        </w:rPr>
        <w:t>) of Lithium Argentina provides an overview of Lithium Argentina's financial condition and results of operations for the three and six months ended June 30, 2026, and has been prepared as of August 11, 2026. It analyzes key factors influencing the Company's performance, including of the Cauchari-Olaroz lithium operation (“</w:t>
      </w:r>
      <w:r>
        <w:rPr>
          <w:rFonts w:ascii="Arial;sans-serif" w:hAnsi="Arial;sans-serif"/>
          <w:b/>
          <w:color w:val="000000"/>
          <w:sz w:val="20"/>
        </w:rPr>
        <w:t>Cauchari-Olaroz</w:t>
      </w:r>
      <w:r>
        <w:rPr>
          <w:color w:val="000000"/>
        </w:rPr>
        <w:t>”</w:t>
      </w:r>
      <w:r>
        <w:rPr>
          <w:rFonts w:ascii="Arial;sans-serif" w:hAnsi="Arial;sans-serif"/>
          <w:b w:val="false"/>
          <w:color w:val="000000"/>
          <w:sz w:val="20"/>
        </w:rPr>
        <w:t>), in which the Company holds an interest in, its financing activities, and market conditions.</w:t>
      </w:r>
    </w:p>
    <w:p>
      <w:pPr>
        <w:pStyle w:val="TextBody"/>
        <w:bidi w:val="0"/>
        <w:spacing w:lineRule="auto" w:line="288" w:before="0" w:after="200"/>
        <w:jc w:val="both"/>
        <w:rPr/>
      </w:pPr>
      <w:r>
        <w:rPr>
          <w:rFonts w:ascii="Arial;sans-serif" w:hAnsi="Arial;sans-serif"/>
          <w:b w:val="false"/>
          <w:color w:val="000000"/>
          <w:sz w:val="20"/>
        </w:rPr>
        <w:t>This MD&amp;A should be read in conjunction with the Company’s unaudited condensed consolidated interim financial statements and the notes thereto for the three and six months ended June 30, 2026 (“</w:t>
      </w:r>
      <w:r>
        <w:rPr>
          <w:rFonts w:ascii="Arial;sans-serif" w:hAnsi="Arial;sans-serif"/>
          <w:b/>
          <w:color w:val="000000"/>
          <w:sz w:val="20"/>
        </w:rPr>
        <w:t>Q2 2026 financial statements</w:t>
      </w:r>
      <w:r>
        <w:rPr>
          <w:color w:val="000000"/>
        </w:rPr>
        <w:t>”</w:t>
      </w:r>
      <w:r>
        <w:rPr>
          <w:rFonts w:ascii="Arial;sans-serif" w:hAnsi="Arial;sans-serif"/>
          <w:b w:val="false"/>
          <w:color w:val="000000"/>
          <w:sz w:val="20"/>
        </w:rPr>
        <w:t>) and the audited consolidated financial statements and notes thereto for the year ended December 31, 2025 (“</w:t>
      </w:r>
      <w:r>
        <w:rPr>
          <w:rFonts w:ascii="Arial;sans-serif" w:hAnsi="Arial;sans-serif"/>
          <w:b/>
          <w:color w:val="000000"/>
          <w:sz w:val="20"/>
        </w:rPr>
        <w:t>YE 2025 financial statements</w:t>
      </w:r>
      <w:r>
        <w:rPr>
          <w:color w:val="000000"/>
        </w:rPr>
        <w:t>”</w:t>
      </w:r>
      <w:r>
        <w:rPr>
          <w:rFonts w:ascii="Arial;sans-serif" w:hAnsi="Arial;sans-serif"/>
          <w:b w:val="false"/>
          <w:color w:val="000000"/>
          <w:sz w:val="20"/>
        </w:rPr>
        <w:t>). Refer to Notes 2 and 3 of Q2 2026 financial statements and YE 2025 financial statements for disclosure of the Company’s material accounting policies. All amounts are expressed in United States dollars (“</w:t>
      </w:r>
      <w:r>
        <w:rPr>
          <w:rFonts w:ascii="Arial;sans-serif" w:hAnsi="Arial;sans-serif"/>
          <w:b/>
          <w:color w:val="000000"/>
          <w:sz w:val="20"/>
        </w:rPr>
        <w:t>US dollars</w:t>
      </w:r>
      <w:r>
        <w:rPr>
          <w:color w:val="000000"/>
        </w:rPr>
        <w:t xml:space="preserve">” </w:t>
      </w:r>
      <w:r>
        <w:rPr>
          <w:rFonts w:ascii="Arial;sans-serif" w:hAnsi="Arial;sans-serif"/>
          <w:b w:val="false"/>
          <w:color w:val="000000"/>
          <w:sz w:val="20"/>
        </w:rPr>
        <w:t>or “</w:t>
      </w:r>
      <w:r>
        <w:rPr>
          <w:rFonts w:ascii="Arial;sans-serif" w:hAnsi="Arial;sans-serif"/>
          <w:b/>
          <w:color w:val="000000"/>
          <w:sz w:val="20"/>
        </w:rPr>
        <w:t>US$</w:t>
      </w:r>
      <w:r>
        <w:rPr>
          <w:color w:val="000000"/>
        </w:rPr>
        <w:t>”</w:t>
      </w:r>
      <w:r>
        <w:rPr>
          <w:rFonts w:ascii="Arial;sans-serif" w:hAnsi="Arial;sans-serif"/>
          <w:b w:val="false"/>
          <w:color w:val="000000"/>
          <w:sz w:val="20"/>
        </w:rPr>
        <w:t>), unless otherwise stated. References to CDN$ are in Canadian dollars. This MD&amp;A includes certain statements that may be deemed “forward-looking statements,” “forward-looking information,” “future-oriented financial information,” and/or “financial outlook.” Readers should refer to the cautionary note in the section titled “Forward-Looking Statements” of this MD&amp;A. Information contained on the Company’s website or in other documents referred to in this MD&amp;A is not incorporated by reference herein and does not form part of this MD&amp;A unless otherwise specifically stated.</w:t>
      </w:r>
    </w:p>
    <w:p>
      <w:pPr>
        <w:pStyle w:val="TextBody"/>
        <w:bidi w:val="0"/>
        <w:spacing w:lineRule="auto" w:line="288" w:before="0" w:after="200"/>
        <w:jc w:val="both"/>
        <w:rPr/>
      </w:pPr>
      <w:r>
        <w:rPr>
          <w:rFonts w:ascii="Arial;sans-serif" w:hAnsi="Arial;sans-serif"/>
          <w:b w:val="false"/>
          <w:color w:val="000000"/>
          <w:sz w:val="20"/>
        </w:rPr>
        <w:t>Cauchari-Olaroz is a lithium carbonate operation located in Jujuy Province, northwestern Argentina. The Company owns a 44.8% interest in the operation through its equity stake in Minera Exar S.A. (“</w:t>
      </w:r>
      <w:r>
        <w:rPr>
          <w:rFonts w:ascii="Arial;sans-serif" w:hAnsi="Arial;sans-serif"/>
          <w:b/>
          <w:color w:val="000000"/>
          <w:sz w:val="20"/>
        </w:rPr>
        <w:t>Exar</w:t>
      </w:r>
      <w:r>
        <w:rPr>
          <w:color w:val="000000"/>
        </w:rPr>
        <w:t>”</w:t>
      </w:r>
      <w:r>
        <w:rPr>
          <w:rFonts w:ascii="Arial;sans-serif" w:hAnsi="Arial;sans-serif"/>
          <w:b w:val="false"/>
          <w:color w:val="000000"/>
          <w:sz w:val="20"/>
        </w:rPr>
        <w:t>), an Argentine entity. Operations related to Cauchari-Olaroz are conducted through equity investees Exar and Exar Capital B.V. (“</w:t>
      </w:r>
      <w:r>
        <w:rPr>
          <w:rFonts w:ascii="Arial;sans-serif" w:hAnsi="Arial;sans-serif"/>
          <w:b/>
          <w:color w:val="000000"/>
          <w:sz w:val="20"/>
        </w:rPr>
        <w:t>Exar Capital</w:t>
      </w:r>
      <w:r>
        <w:rPr>
          <w:color w:val="000000"/>
        </w:rPr>
        <w:t>”</w:t>
      </w:r>
      <w:r>
        <w:rPr>
          <w:rFonts w:ascii="Arial;sans-serif" w:hAnsi="Arial;sans-serif"/>
          <w:b w:val="false"/>
          <w:color w:val="000000"/>
          <w:sz w:val="20"/>
        </w:rPr>
        <w:t>), a Netherlands entity that provides project funding. The Company and Ganfeng Lithium Co. Ltd. (“</w:t>
      </w:r>
      <w:r>
        <w:rPr>
          <w:rFonts w:ascii="Arial;sans-serif" w:hAnsi="Arial;sans-serif"/>
          <w:b/>
          <w:color w:val="000000"/>
          <w:sz w:val="20"/>
        </w:rPr>
        <w:t>Ganfeng</w:t>
      </w:r>
      <w:r>
        <w:rPr>
          <w:color w:val="000000"/>
        </w:rPr>
        <w:t>”</w:t>
      </w:r>
      <w:r>
        <w:rPr>
          <w:rFonts w:ascii="Arial;sans-serif" w:hAnsi="Arial;sans-serif"/>
          <w:b w:val="false"/>
          <w:color w:val="000000"/>
          <w:sz w:val="20"/>
        </w:rPr>
        <w:t>) collectively own 91.5% of Exar (with the remaining 8.5% held by Jujuy Energía y Minería Sociedad del Estado (“</w:t>
      </w:r>
      <w:r>
        <w:rPr>
          <w:rFonts w:ascii="Arial;sans-serif" w:hAnsi="Arial;sans-serif"/>
          <w:b/>
          <w:color w:val="000000"/>
          <w:sz w:val="20"/>
        </w:rPr>
        <w:t>JEMSE</w:t>
      </w:r>
      <w:r>
        <w:rPr>
          <w:color w:val="000000"/>
        </w:rPr>
        <w:t>”</w:t>
      </w:r>
      <w:r>
        <w:rPr>
          <w:rFonts w:ascii="Arial;sans-serif" w:hAnsi="Arial;sans-serif"/>
          <w:b w:val="false"/>
          <w:color w:val="000000"/>
          <w:sz w:val="20"/>
        </w:rPr>
        <w:t>)), and 100% of Exar Capital, under a shareholders’ agreement.</w:t>
      </w:r>
    </w:p>
    <w:p>
      <w:pPr>
        <w:pStyle w:val="TextBody"/>
        <w:bidi w:val="0"/>
        <w:spacing w:lineRule="auto" w:line="288" w:before="0" w:after="200"/>
        <w:jc w:val="both"/>
        <w:rPr/>
      </w:pPr>
      <w:r>
        <w:rPr>
          <w:rFonts w:ascii="Arial;sans-serif" w:hAnsi="Arial;sans-serif"/>
          <w:b w:val="false"/>
          <w:color w:val="000000"/>
          <w:sz w:val="20"/>
        </w:rPr>
        <w:t>As previously announced, the Company and Ganfeng have agreed to enter into a new joint venture (“</w:t>
      </w:r>
      <w:r>
        <w:rPr>
          <w:rFonts w:ascii="Arial;sans-serif" w:hAnsi="Arial;sans-serif"/>
          <w:b/>
          <w:color w:val="000000"/>
          <w:sz w:val="20"/>
        </w:rPr>
        <w:t>New JV</w:t>
      </w:r>
      <w:r>
        <w:rPr>
          <w:color w:val="000000"/>
        </w:rPr>
        <w:t>”</w:t>
      </w:r>
      <w:r>
        <w:rPr>
          <w:rFonts w:ascii="Arial;sans-serif" w:hAnsi="Arial;sans-serif"/>
          <w:b w:val="false"/>
          <w:color w:val="000000"/>
          <w:sz w:val="20"/>
        </w:rPr>
        <w:t>) that will consolidate Ganfeng’s solely owned Pozuelos-Pastos Grandes project with Lithium Argentina’s Pastos Grandes project (85% owned) and the Sal de la Puna project (65% owned), (collectively, “</w:t>
      </w:r>
      <w:r>
        <w:rPr>
          <w:rFonts w:ascii="Arial;sans-serif" w:hAnsi="Arial;sans-serif"/>
          <w:b/>
          <w:color w:val="000000"/>
          <w:sz w:val="20"/>
        </w:rPr>
        <w:t>PPG</w:t>
      </w:r>
      <w:r>
        <w:rPr>
          <w:color w:val="000000"/>
        </w:rPr>
        <w:t>”</w:t>
      </w:r>
      <w:r>
        <w:rPr>
          <w:rFonts w:ascii="Arial;sans-serif" w:hAnsi="Arial;sans-serif"/>
          <w:b w:val="false"/>
          <w:color w:val="000000"/>
          <w:sz w:val="20"/>
        </w:rPr>
        <w:t>). PPG is located in Salta Province. Upon closing the New JV, Ganfeng will hold a 67% interest and Lithium Argentina will hold a 33% interest in PPG.</w:t>
      </w:r>
    </w:p>
    <w:p>
      <w:pPr>
        <w:pStyle w:val="TextBody"/>
        <w:bidi w:val="0"/>
        <w:spacing w:lineRule="auto" w:line="288" w:before="0" w:after="200"/>
        <w:jc w:val="both"/>
        <w:rPr/>
      </w:pPr>
      <w:r>
        <w:rPr>
          <w:rFonts w:ascii="Arial;sans-serif" w:hAnsi="Arial;sans-serif"/>
          <w:b w:val="false"/>
          <w:color w:val="000000"/>
          <w:sz w:val="20"/>
        </w:rPr>
        <w:t>Additional information relating to the Company, including key risk factors which may impact the Company’s business and financial condition, as well as other information, is contained in the Company’s Annual Report on Form 20-F for the year ended December 31, 2025 (“</w:t>
      </w:r>
      <w:r>
        <w:rPr>
          <w:rFonts w:ascii="Arial;sans-serif" w:hAnsi="Arial;sans-serif"/>
          <w:b/>
          <w:color w:val="000000"/>
          <w:sz w:val="20"/>
        </w:rPr>
        <w:t>Form 20-F</w:t>
      </w:r>
      <w:r>
        <w:rPr>
          <w:color w:val="000000"/>
        </w:rPr>
        <w:t>”</w:t>
      </w:r>
      <w:r>
        <w:rPr>
          <w:rFonts w:ascii="Arial;sans-serif" w:hAnsi="Arial;sans-serif"/>
          <w:b w:val="false"/>
          <w:color w:val="000000"/>
          <w:sz w:val="20"/>
        </w:rPr>
        <w:t xml:space="preserve">), and other filings, which are available on the Company’s website at www.lithium-argentina.com, on SEDAR+ at www.sedarplus.ca and on EDGAR at </w:t>
      </w:r>
      <w:r>
        <w:rPr>
          <w:rFonts w:ascii="Arial;sans-serif" w:hAnsi="Arial;sans-serif"/>
          <w:b w:val="false"/>
          <w:color w:val="0000FF"/>
          <w:sz w:val="20"/>
          <w:u w:val="single"/>
        </w:rPr>
        <w:t>www.sec.gov</w:t>
      </w:r>
      <w:r>
        <w:rPr>
          <w:rFonts w:ascii="Arial;sans-serif" w:hAnsi="Arial;sans-serif"/>
          <w:b w:val="false"/>
          <w:color w:val="000000"/>
          <w:sz w:val="20"/>
        </w:rPr>
        <w:t>.</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Highlights</w:t>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Cauchari-Olaroz</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holds a 44.8% equity interest in Exar, the operating entity for Cauchari-Olaroz, and exercises joint control over all key decisions. Operational and financial highlights below are presented on a 100% basis.</w:t>
      </w:r>
    </w:p>
    <w:p>
      <w:pPr>
        <w:pStyle w:val="TextBody"/>
        <w:bidi w:val="0"/>
        <w:spacing w:lineRule="auto" w:line="288"/>
        <w:ind w:left="0" w:right="0" w:hanging="360"/>
        <w:jc w:val="both"/>
        <w:rPr/>
      </w:pPr>
      <w:r>
        <w:rPr>
          <w:color w:val="000000"/>
        </w:rPr>
        <w:t>▪</w:t>
      </w:r>
      <w:r>
        <w:rPr>
          <w:rFonts w:ascii="Arial;sans-serif" w:hAnsi="Arial;sans-serif"/>
          <w:b/>
          <w:color w:val="000000"/>
          <w:sz w:val="20"/>
        </w:rPr>
        <w:t>Production:</w:t>
      </w:r>
      <w:r>
        <w:rPr>
          <w:color w:val="000000"/>
        </w:rPr>
        <w:t xml:space="preserve"> </w:t>
      </w:r>
      <w:r>
        <w:rPr>
          <w:rFonts w:ascii="Arial;sans-serif" w:hAnsi="Arial;sans-serif"/>
          <w:b w:val="false"/>
          <w:color w:val="000000"/>
          <w:sz w:val="20"/>
        </w:rPr>
        <w:t>Produced 9,280 tonnes of lithium carbonate in the second quarter of 2026 with the operation continuing to perform near design capacity.</w:t>
      </w:r>
    </w:p>
    <w:p>
      <w:pPr>
        <w:pStyle w:val="TextBody"/>
        <w:bidi w:val="0"/>
        <w:spacing w:before="0" w:after="0"/>
        <w:jc w:val="right"/>
        <w:rPr/>
      </w:pPr>
      <w:r>
        <w:rPr/>
        <w:drawing>
          <wp:inline distT="0" distB="0" distL="0" distR="0">
            <wp:extent cx="2095500" cy="238125"/>
            <wp:effectExtent l="0" t="0" r="0" b="0"/>
            <wp:docPr id="94"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2" descr=""/>
                    <pic:cNvPicPr>
                      <a:picLocks noChangeAspect="1" noChangeArrowheads="1"/>
                    </pic:cNvPicPr>
                  </pic:nvPicPr>
                  <pic:blipFill>
                    <a:blip r:embed="rId61"/>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16840"/>
                <wp:effectExtent l="0" t="0" r="0" b="0"/>
                <wp:wrapNone/>
                <wp:docPr id="9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Second quarter production reflected the planned shutdown completed in May 2026 for routine maintenance and plant improvements.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The operation averaged 95% of design capacity in the first half of 2026 and remains on track to achieve full-year production guidance of 35,000 - 40,000 tonnes.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Operating Costs:</w:t>
      </w:r>
      <w:r>
        <w:rPr>
          <w:color w:val="000000"/>
        </w:rPr>
        <w:t xml:space="preserve"> </w:t>
      </w:r>
      <w:r>
        <w:rPr>
          <w:rFonts w:ascii="Arial;sans-serif" w:hAnsi="Arial;sans-serif"/>
          <w:b w:val="false"/>
          <w:color w:val="000000"/>
          <w:sz w:val="20"/>
        </w:rPr>
        <w:t>Costs of sales for the second quarter of 2026 were $63 million with cash operating costs of $5,897 per tonne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of lithium carbonate sold.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Quarterly costs reflected the planned shutdown, higher energy costs and the impact of a stronger Argentine peso. </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Pricing:</w:t>
      </w:r>
      <w:r>
        <w:rPr>
          <w:color w:val="000000"/>
        </w:rPr>
        <w:t xml:space="preserve"> </w:t>
      </w:r>
      <w:r>
        <w:rPr>
          <w:rFonts w:ascii="Arial;sans-serif" w:hAnsi="Arial;sans-serif"/>
          <w:b w:val="false"/>
          <w:color w:val="000000"/>
          <w:sz w:val="20"/>
        </w:rPr>
        <w:t>Revenue for the second quarter of 2026 was $174 million, reflecting an average realized price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approximately $19,563 per tonne of lithium carbonate sold, representing a cash operating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70%.</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Net Income:</w:t>
      </w:r>
      <w:r>
        <w:rPr>
          <w:color w:val="000000"/>
        </w:rPr>
        <w:t xml:space="preserve"> </w:t>
      </w:r>
      <w:r>
        <w:rPr>
          <w:rFonts w:ascii="Arial;sans-serif" w:hAnsi="Arial;sans-serif"/>
          <w:b w:val="false"/>
          <w:color w:val="000000"/>
          <w:sz w:val="20"/>
        </w:rPr>
        <w:t>Net income for the second quarter of 2026 was $27 million, compared to $49 million for the first quarter of 2026, with the change primarily reflecting a $38 million non-cash deferred tax charge related to accelerated depreciation.</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Adjusted EBITDA</w:t>
      </w:r>
      <w:r>
        <w:rPr>
          <w:rFonts w:ascii="Arial;sans-serif" w:hAnsi="Arial;sans-serif"/>
          <w:b w:val="false"/>
          <w:color w:val="000000"/>
          <w:sz w:val="13"/>
        </w:rPr>
        <w:t>2</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EBITDA for the second quarter of 2026 was $110 million, as higher realized prices offset lower sales volumes compared to the first quarter of 2026.</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Operating Cash Flow:</w:t>
      </w:r>
      <w:r>
        <w:rPr>
          <w:color w:val="000000"/>
        </w:rPr>
        <w:t xml:space="preserve"> </w:t>
      </w:r>
      <w:r>
        <w:rPr>
          <w:rFonts w:ascii="Arial;sans-serif" w:hAnsi="Arial;sans-serif"/>
          <w:b w:val="false"/>
          <w:color w:val="000000"/>
          <w:sz w:val="20"/>
        </w:rPr>
        <w:t>Operating cash flow for the second quarter of 2026 was $142 million and Free Cash Flow from Operations was $141 million</w:t>
      </w:r>
      <w:r>
        <w:rPr>
          <w:rFonts w:ascii="Arial;sans-serif" w:hAnsi="Arial;sans-serif"/>
          <w:b w:val="false"/>
          <w:color w:val="000000"/>
          <w:sz w:val="13"/>
        </w:rPr>
        <w:t>3</w:t>
      </w:r>
      <w:r>
        <w:rPr>
          <w:rFonts w:ascii="Arial;sans-serif" w:hAnsi="Arial;sans-serif"/>
          <w:b w:val="false"/>
          <w:color w:val="000000"/>
          <w:sz w:val="20"/>
        </w:rPr>
        <w:t>.</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Liquidity: </w:t>
      </w:r>
      <w:r>
        <w:rPr>
          <w:rFonts w:ascii="Arial;sans-serif" w:hAnsi="Arial;sans-serif"/>
          <w:b w:val="false"/>
          <w:color w:val="000000"/>
          <w:sz w:val="20"/>
        </w:rPr>
        <w:t>Cauchari-Olaroz net debt was reduced by $114 million in the second quarter of 2026, after funding $16 million related to cash distributions to Lithium Argentina and Ganfeng.</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Subsequent to quarter-end, Cauchari-Olaroz completed a $170 million debt facility to reduce financing cost, support additional distributions and provide flexibility to advance the operation's growth plans.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Carbon Footprint:</w:t>
      </w:r>
      <w:r>
        <w:rPr>
          <w:color w:val="000000"/>
        </w:rPr>
        <w:t xml:space="preserve"> </w:t>
      </w:r>
      <w:r>
        <w:rPr>
          <w:rFonts w:ascii="Arial;sans-serif" w:hAnsi="Arial;sans-serif"/>
          <w:b w:val="false"/>
          <w:color w:val="000000"/>
          <w:sz w:val="20"/>
        </w:rPr>
        <w:t>Cauchari-Olaroz completed an independent, ISO-verified assessment of its carbon footprint of 1.4 tonnes of CO</w:t>
      </w:r>
      <w:r>
        <w:rPr>
          <w:rFonts w:ascii="Arial;sans-serif" w:hAnsi="Arial;sans-serif"/>
          <w:b w:val="false"/>
          <w:color w:val="000000"/>
          <w:sz w:val="13"/>
        </w:rPr>
        <w:t>2</w:t>
      </w:r>
      <w:r>
        <w:rPr>
          <w:rFonts w:ascii="Arial;sans-serif" w:hAnsi="Arial;sans-serif"/>
          <w:b w:val="false"/>
          <w:color w:val="000000"/>
          <w:sz w:val="20"/>
        </w:rPr>
        <w:t>e (Scope 1 and 2) per tonne of lithium carbonate produced in 2025.</w:t>
      </w:r>
    </w:p>
    <w:p>
      <w:pPr>
        <w:pStyle w:val="TextBody"/>
        <w:bidi w:val="0"/>
        <w:spacing w:before="0" w:after="0"/>
        <w:jc w:val="both"/>
        <w:rPr/>
      </w:pPr>
      <w:r>
        <w:rPr/>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Growth Pipeline</w:t>
      </w:r>
    </w:p>
    <w:p>
      <w:pPr>
        <w:pStyle w:val="TextBody"/>
        <w:bidi w:val="0"/>
        <w:spacing w:lineRule="auto" w:line="288" w:before="0" w:after="0"/>
        <w:jc w:val="both"/>
        <w:rPr/>
      </w:pPr>
      <w:r>
        <w:rPr>
          <w:rFonts w:ascii="Arial;sans-serif" w:hAnsi="Arial;sans-serif"/>
          <w:b/>
          <w:color w:val="000000"/>
          <w:sz w:val="20"/>
        </w:rPr>
        <w:t>Stage 2 Expansion:</w:t>
      </w:r>
      <w:r>
        <w:rPr>
          <w:color w:val="000000"/>
        </w:rPr>
        <w:t xml:space="preserve"> </w:t>
      </w:r>
      <w:r>
        <w:rPr>
          <w:rFonts w:ascii="Arial;sans-serif" w:hAnsi="Arial;sans-serif"/>
          <w:b w:val="false"/>
          <w:color w:val="000000"/>
          <w:sz w:val="20"/>
        </w:rPr>
        <w:t>Continued advancing the expansion plan to increase production capacity by 45,000 tonnes per annum ("</w:t>
      </w:r>
      <w:r>
        <w:rPr>
          <w:rFonts w:ascii="Arial;sans-serif" w:hAnsi="Arial;sans-serif"/>
          <w:b/>
          <w:color w:val="000000"/>
          <w:sz w:val="20"/>
        </w:rPr>
        <w:t>tpa</w:t>
      </w:r>
      <w:r>
        <w:rPr>
          <w:rFonts w:ascii="Arial;sans-serif" w:hAnsi="Arial;sans-serif"/>
          <w:b w:val="false"/>
          <w:color w:val="000000"/>
          <w:sz w:val="20"/>
        </w:rPr>
        <w:t>") of LCE at Cauchari-Olaroz (“</w:t>
      </w:r>
      <w:r>
        <w:rPr>
          <w:rFonts w:ascii="Arial;sans-serif" w:hAnsi="Arial;sans-serif"/>
          <w:b/>
          <w:color w:val="000000"/>
          <w:sz w:val="20"/>
        </w:rPr>
        <w:t>Stage 2</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RIGI Approval: </w:t>
      </w:r>
      <w:r>
        <w:rPr>
          <w:rFonts w:ascii="Arial;sans-serif" w:hAnsi="Arial;sans-serif"/>
          <w:b w:val="false"/>
          <w:color w:val="000000"/>
          <w:sz w:val="20"/>
        </w:rPr>
        <w:t>In May 2026, the Stage 2 expansion was approved under Argentina's Regimen de Incentivo para Grandes Inversiones ("</w:t>
      </w:r>
      <w:r>
        <w:rPr>
          <w:rFonts w:ascii="Arial;sans-serif" w:hAnsi="Arial;sans-serif"/>
          <w:b/>
          <w:color w:val="000000"/>
          <w:sz w:val="20"/>
        </w:rPr>
        <w:t>RIGI</w:t>
      </w:r>
      <w:r>
        <w:rPr>
          <w:rFonts w:ascii="Arial;sans-serif" w:hAnsi="Arial;sans-serif"/>
          <w:b w:val="false"/>
          <w:color w:val="000000"/>
          <w:sz w:val="20"/>
        </w:rPr>
        <w:t>"), providing long-term fiscal stability and enhanced FX and tax benefits.</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Updated Development Plan:</w:t>
      </w:r>
      <w:r>
        <w:rPr>
          <w:color w:val="000000"/>
        </w:rPr>
        <w:t xml:space="preserve"> </w:t>
      </w:r>
      <w:r>
        <w:rPr>
          <w:rFonts w:ascii="Arial;sans-serif" w:hAnsi="Arial;sans-serif"/>
          <w:b w:val="false"/>
          <w:color w:val="000000"/>
          <w:sz w:val="20"/>
        </w:rPr>
        <w:t>An updated development plan for Stage 2 is expected around the end of the third quarter of 2026 reflecting ongoing engineering and development work.</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Modular DLE Approach:</w:t>
      </w:r>
      <w:r>
        <w:rPr>
          <w:color w:val="000000"/>
        </w:rPr>
        <w:t xml:space="preserve"> </w:t>
      </w:r>
      <w:r>
        <w:rPr>
          <w:rFonts w:ascii="Arial;sans-serif" w:hAnsi="Arial;sans-serif"/>
          <w:b w:val="false"/>
          <w:color w:val="000000"/>
          <w:sz w:val="20"/>
        </w:rPr>
        <w:t xml:space="preserve">Together with Ganfeng, the Company is advancing engineering and development of an initial 10,000 tpa LCE modular DLE facility as part of a phased Stage 2 development plan.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strategy is designed to accelerate first production, reduce execution risk and optimize capital efficiency by leveraging Ganfeng's expertise in fabricating advanced process equipment for installation at site.</w: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Early Development Activities: </w:t>
      </w:r>
      <w:r>
        <w:rPr>
          <w:rFonts w:ascii="Arial;sans-serif" w:hAnsi="Arial;sans-serif"/>
          <w:b w:val="false"/>
          <w:color w:val="000000"/>
          <w:sz w:val="20"/>
        </w:rPr>
        <w:t xml:space="preserve">Cauchari-Olaroz has approved early development activities for Stage 2, including additional production wells, infrastructure and site preparation, under existing operating permits.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These activities are expected to advance the Stage 2 expansion plan and contribute toward investment under RIGI, while strengthening the existing operation and supporting sustained production above current design capacity.</w:t>
      </w:r>
    </w:p>
    <w:p>
      <w:pPr>
        <w:pStyle w:val="TextBody"/>
        <w:bidi w:val="0"/>
        <w:spacing w:lineRule="auto" w:line="288" w:before="0" w:after="0"/>
        <w:jc w:val="both"/>
        <w:rPr/>
      </w:pPr>
      <w:r>
        <w:rPr>
          <w:rFonts w:ascii="Arial;sans-serif" w:hAnsi="Arial;sans-serif"/>
          <w:b w:val="false"/>
          <w:color w:val="000000"/>
          <w:sz w:val="13"/>
        </w:rPr>
        <w:t>1</w:t>
      </w:r>
      <w:r>
        <w:rPr>
          <w:color w:val="000000"/>
        </w:rPr>
        <w:t xml:space="preserve"> </w:t>
      </w:r>
      <w:r>
        <w:rPr>
          <w:rFonts w:ascii="Arial;sans-serif" w:hAnsi="Arial;sans-serif"/>
          <w:b w:val="false"/>
          <w:color w:val="000000"/>
          <w:sz w:val="16"/>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pStyle w:val="TextBody"/>
        <w:bidi w:val="0"/>
        <w:spacing w:lineRule="auto" w:line="288" w:before="0" w:after="0"/>
        <w:jc w:val="left"/>
        <w:rPr/>
      </w:pPr>
      <w:r>
        <w:rPr>
          <w:rFonts w:ascii="Arial;sans-serif" w:hAnsi="Arial;sans-serif"/>
          <w:b w:val="false"/>
          <w:color w:val="000000"/>
          <w:sz w:val="13"/>
        </w:rPr>
        <w:t>2</w:t>
      </w:r>
      <w:r>
        <w:rPr>
          <w:color w:val="000000"/>
        </w:rPr>
        <w:t xml:space="preserve"> </w:t>
      </w:r>
      <w:r>
        <w:rPr>
          <w:rFonts w:ascii="Arial;sans-serif" w:hAnsi="Arial;sans-serif"/>
          <w:b w:val="false"/>
          <w:color w:val="000000"/>
          <w:sz w:val="16"/>
        </w:rPr>
        <w:t>Refer to section titled “Non-IFRS and Other Financial Measures” below.</w:t>
      </w:r>
    </w:p>
    <w:p>
      <w:pPr>
        <w:pStyle w:val="TextBody"/>
        <w:bidi w:val="0"/>
        <w:spacing w:lineRule="auto" w:line="268"/>
        <w:jc w:val="left"/>
        <w:rPr/>
      </w:pPr>
      <w:r>
        <w:rPr>
          <w:rFonts w:ascii="Arial;sans-serif" w:hAnsi="Arial;sans-serif"/>
          <w:b w:val="false"/>
          <w:color w:val="000000"/>
          <w:sz w:val="13"/>
        </w:rPr>
        <w:t>3</w:t>
      </w:r>
      <w:r>
        <w:rPr>
          <w:color w:val="000000"/>
        </w:rPr>
        <w:t xml:space="preserve"> </w:t>
      </w:r>
      <w:r>
        <w:rPr>
          <w:rFonts w:ascii="Arial;sans-serif" w:hAnsi="Arial;sans-serif"/>
          <w:b w:val="false"/>
          <w:color w:val="000000"/>
          <w:sz w:val="16"/>
        </w:rPr>
        <w:t>Free Cash Flow from Operations is Exar net cash generated from operating activities, less capital expenditures and before the deduction of development capital expenditures, including the payment of capitalized interest. Free cash flow from Operations at Exar does not represent cash flow available to the Company at its discretion. Under the shareholder agreement governing Cauchari-Olaroz, excess cash flow (as defined therein) is distributed between the Company and Ganfeng.</w:t>
      </w:r>
    </w:p>
    <w:p>
      <w:pPr>
        <w:pStyle w:val="TextBody"/>
        <w:bidi w:val="0"/>
        <w:spacing w:before="0" w:after="0"/>
        <w:jc w:val="right"/>
        <w:rPr/>
      </w:pPr>
      <w:r>
        <w:rPr/>
        <w:drawing>
          <wp:inline distT="0" distB="0" distL="0" distR="0">
            <wp:extent cx="2095500" cy="238125"/>
            <wp:effectExtent l="0" t="0" r="0" b="0"/>
            <wp:docPr id="9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3" descr=""/>
                    <pic:cNvPicPr>
                      <a:picLocks noChangeAspect="1" noChangeArrowheads="1"/>
                    </pic:cNvPicPr>
                  </pic:nvPicPr>
                  <pic:blipFill>
                    <a:blip r:embed="rId62"/>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16840"/>
                <wp:effectExtent l="0" t="0" r="0" b="0"/>
                <wp:wrapNone/>
                <wp:docPr id="97"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w:t>
                      </w:r>
                    </w:p>
                  </w:txbxContent>
                </v:textbox>
                <w10:wrap type="none"/>
              </v:rect>
            </w:pict>
          </mc:Fallback>
        </mc:AlternateContent>
      </w:r>
    </w:p>
    <w:p>
      <w:pPr>
        <w:pStyle w:val="TextBody"/>
        <w:bidi w:val="0"/>
        <w:spacing w:lineRule="auto" w:line="288" w:before="0" w:after="0"/>
        <w:ind w:left="0" w:right="0" w:hanging="360"/>
        <w:jc w:val="both"/>
        <w:rPr/>
      </w:pPr>
      <w:r>
        <w:rPr>
          <w:color w:val="000000"/>
        </w:rPr>
        <w:t>▪</w:t>
      </w:r>
      <w:r>
        <w:rPr>
          <w:rFonts w:ascii="Arial;sans-serif" w:hAnsi="Arial;sans-serif"/>
          <w:b/>
          <w:color w:val="000000"/>
          <w:sz w:val="20"/>
        </w:rPr>
        <w:t xml:space="preserve">Environmental Permitting: </w:t>
      </w:r>
      <w:r>
        <w:rPr>
          <w:rFonts w:ascii="Arial;sans-serif" w:hAnsi="Arial;sans-serif"/>
          <w:b w:val="false"/>
          <w:color w:val="000000"/>
          <w:sz w:val="20"/>
        </w:rPr>
        <w:t>The Environmental Impact Assessment ("</w:t>
      </w:r>
      <w:r>
        <w:rPr>
          <w:rFonts w:ascii="Arial;sans-serif" w:hAnsi="Arial;sans-serif"/>
          <w:b/>
          <w:color w:val="000000"/>
          <w:sz w:val="20"/>
        </w:rPr>
        <w:t>EIA</w:t>
      </w:r>
      <w:r>
        <w:rPr>
          <w:rFonts w:ascii="Arial;sans-serif" w:hAnsi="Arial;sans-serif"/>
          <w:b w:val="false"/>
          <w:color w:val="000000"/>
          <w:sz w:val="20"/>
        </w:rPr>
        <w:t>") application for Stage 2 has been submitted, with environmental approval process underway.</w:t>
      </w:r>
    </w:p>
    <w:p>
      <w:pPr>
        <w:pStyle w:val="TextBody"/>
        <w:bidi w:val="0"/>
        <w:spacing w:before="0" w:after="0"/>
        <w:jc w:val="both"/>
        <w:rPr/>
      </w:pPr>
      <w:r>
        <w:rPr/>
      </w:r>
    </w:p>
    <w:p>
      <w:pPr>
        <w:pStyle w:val="TextBody"/>
        <w:bidi w:val="0"/>
        <w:spacing w:lineRule="auto" w:line="288" w:before="0" w:after="120"/>
        <w:jc w:val="both"/>
        <w:rPr/>
      </w:pPr>
      <w:r>
        <w:rPr>
          <w:rFonts w:ascii="Arial;sans-serif" w:hAnsi="Arial;sans-serif"/>
          <w:b/>
          <w:color w:val="000000"/>
          <w:sz w:val="20"/>
        </w:rPr>
        <w:t>PPG:</w:t>
      </w:r>
      <w:r>
        <w:rPr>
          <w:color w:val="000000"/>
        </w:rPr>
        <w:t xml:space="preserve"> </w:t>
      </w:r>
      <w:r>
        <w:rPr>
          <w:rFonts w:ascii="Arial;sans-serif" w:hAnsi="Arial;sans-serif"/>
          <w:b w:val="false"/>
          <w:color w:val="000000"/>
          <w:sz w:val="20"/>
        </w:rPr>
        <w:t>An integrated development plan targeting capacity of 150,000 tpa of LCE across three phases, leveraging shared infrastructure and the consolidated resource base.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Ganfeng and Lithium Argentina continue to advance financing options with potential customers and strategic partners for offtake and minority ownership interests.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 xml:space="preserve">The RIGI application was submitted in the first quarter of 2026, with approval expected by the end of 2026. </w:t>
      </w:r>
    </w:p>
    <w:p>
      <w:pPr>
        <w:pStyle w:val="TextBody"/>
        <w:bidi w:val="0"/>
        <w:spacing w:before="0" w:after="0"/>
        <w:jc w:val="both"/>
        <w:rPr/>
      </w:pPr>
      <w:r>
        <w:rPr/>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Lithium Argentina Financial and Corporate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As of June 30, 2026, Lithium Argentina held $100 million in cash and cash equivalents and $230 million in total liquidity, including $130 million undrawn 6-year debt facility.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Subsequent to quarter end, Cauchari-Olaroz distributed an additional $27 million to the Company and expects to receive further distributions later in 2026.</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The Company continued advancing plans for a secondary listing on the Australian Securities Exchange ("</w:t>
      </w:r>
      <w:r>
        <w:rPr>
          <w:rFonts w:ascii="Arial;sans-serif" w:hAnsi="Arial;sans-serif"/>
          <w:b/>
          <w:color w:val="000000"/>
          <w:sz w:val="20"/>
        </w:rPr>
        <w:t>ASX</w:t>
      </w:r>
      <w:r>
        <w:rPr>
          <w:rFonts w:ascii="Arial;sans-serif" w:hAnsi="Arial;sans-serif"/>
          <w:b w:val="false"/>
          <w:color w:val="000000"/>
          <w:sz w:val="20"/>
        </w:rPr>
        <w:t>"), complementing the Company's NYSE listing and broadening access for Asia-Pacific investors.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095500" cy="238125"/>
            <wp:effectExtent l="0" t="0" r="0" b="0"/>
            <wp:docPr id="98"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4" descr=""/>
                    <pic:cNvPicPr>
                      <a:picLocks noChangeAspect="1" noChangeArrowheads="1"/>
                    </pic:cNvPicPr>
                  </pic:nvPicPr>
                  <pic:blipFill>
                    <a:blip r:embed="rId63"/>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16840"/>
                <wp:effectExtent l="0" t="0" r="0" b="0"/>
                <wp:wrapNone/>
                <wp:docPr id="99"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3</w:t>
                      </w:r>
                    </w:p>
                  </w:txbxContent>
                </v:textbox>
                <w10:wrap type="none"/>
              </v:rect>
            </w:pict>
          </mc:Fallback>
        </mc:AlternateContent>
      </w: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OPERATIONAL PERFORMANCE</w:t>
      </w:r>
    </w:p>
    <w:p>
      <w:pPr>
        <w:pStyle w:val="TextBody"/>
        <w:bidi w:val="0"/>
        <w:spacing w:lineRule="auto" w:line="288" w:before="0" w:after="200"/>
        <w:jc w:val="both"/>
        <w:rPr/>
      </w:pPr>
      <w:r>
        <w:rPr>
          <w:rFonts w:ascii="Arial;sans-serif" w:hAnsi="Arial;sans-serif"/>
          <w:b/>
          <w:i/>
          <w:color w:val="000000"/>
          <w:sz w:val="20"/>
          <w:u w:val="single"/>
        </w:rPr>
        <w:t xml:space="preserve">Cauchari-Olaroz </w:t>
      </w:r>
      <w:r>
        <w:rPr>
          <w:rFonts w:ascii="Arial;sans-serif" w:hAnsi="Arial;sans-serif"/>
          <w:b/>
          <w:color w:val="000000"/>
          <w:sz w:val="20"/>
          <w:u w:val="single"/>
        </w:rPr>
        <w:t>(on a 100% basis)</w:t>
      </w:r>
      <w:r>
        <w:rPr>
          <w:rFonts w:ascii="Arial;sans-serif" w:hAnsi="Arial;sans-serif"/>
          <w:b/>
          <w:color w:val="000000"/>
          <w:sz w:val="13"/>
        </w:rPr>
        <w:t>4</w:t>
      </w:r>
    </w:p>
    <w:tbl>
      <w:tblPr>
        <w:tblW w:w="10205" w:type="dxa"/>
        <w:jc w:val="left"/>
        <w:tblInd w:w="0" w:type="dxa"/>
        <w:tblLayout w:type="fixed"/>
        <w:tblCellMar>
          <w:top w:w="28" w:type="dxa"/>
          <w:left w:w="28" w:type="dxa"/>
          <w:bottom w:w="28" w:type="dxa"/>
          <w:right w:w="28" w:type="dxa"/>
        </w:tblCellMar>
      </w:tblPr>
      <w:tblGrid>
        <w:gridCol w:w="1496"/>
        <w:gridCol w:w="1314"/>
        <w:gridCol w:w="1322"/>
        <w:gridCol w:w="265"/>
        <w:gridCol w:w="265"/>
        <w:gridCol w:w="270"/>
        <w:gridCol w:w="264"/>
        <w:gridCol w:w="264"/>
        <w:gridCol w:w="268"/>
        <w:gridCol w:w="264"/>
        <w:gridCol w:w="264"/>
        <w:gridCol w:w="268"/>
        <w:gridCol w:w="279"/>
        <w:gridCol w:w="264"/>
        <w:gridCol w:w="246"/>
        <w:gridCol w:w="279"/>
        <w:gridCol w:w="264"/>
        <w:gridCol w:w="246"/>
        <w:gridCol w:w="264"/>
        <w:gridCol w:w="264"/>
        <w:gridCol w:w="268"/>
        <w:gridCol w:w="229"/>
        <w:gridCol w:w="229"/>
        <w:gridCol w:w="233"/>
        <w:gridCol w:w="178"/>
        <w:gridCol w:w="178"/>
        <w:gridCol w:w="260"/>
      </w:tblGrid>
      <w:tr>
        <w:trPr/>
        <w:tc>
          <w:tcPr>
            <w:tcW w:w="149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4132" w:type="dxa"/>
            <w:gridSpan w:val="3"/>
            <w:tcBorders/>
            <w:shd w:fill="153A57"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20"/>
              </w:rPr>
              <w:t xml:space="preserve">Lithium Carbonate Operations </w:t>
            </w:r>
            <w:r>
              <w:rPr>
                <w:rFonts w:ascii="Arial;sans-serif" w:hAnsi="Arial;sans-serif"/>
                <w:b w:val="false"/>
                <w:color w:val="FFFFFF"/>
                <w:sz w:val="20"/>
              </w:rPr>
              <w:t>(100% basis unless otherwise</w:t>
            </w:r>
          </w:p>
          <w:p>
            <w:pPr>
              <w:pStyle w:val="TableContents"/>
              <w:bidi w:val="0"/>
              <w:spacing w:lineRule="auto" w:line="288" w:before="0" w:after="0"/>
              <w:jc w:val="left"/>
              <w:rPr>
                <w:rFonts w:ascii="Arial;sans-serif" w:hAnsi="Arial;sans-serif"/>
                <w:b w:val="false"/>
                <w:color w:val="FFFFFF"/>
                <w:sz w:val="20"/>
              </w:rPr>
            </w:pPr>
            <w:r>
              <w:rPr>
                <w:rFonts w:ascii="Arial;sans-serif" w:hAnsi="Arial;sans-serif"/>
                <w:b w:val="false"/>
                <w:color w:val="FFFFFF"/>
                <w:sz w:val="20"/>
              </w:rPr>
              <w:t>indicated)</w:t>
            </w:r>
          </w:p>
        </w:tc>
        <w:tc>
          <w:tcPr>
            <w:tcW w:w="800"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Units</w:t>
            </w:r>
          </w:p>
        </w:tc>
        <w:tc>
          <w:tcPr>
            <w:tcW w:w="79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Q2</w:t>
              <w:br/>
              <w:t>2026</w:t>
            </w:r>
          </w:p>
        </w:tc>
        <w:tc>
          <w:tcPr>
            <w:tcW w:w="79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Q1</w:t>
              <w:br/>
              <w:t>2026</w:t>
            </w:r>
          </w:p>
        </w:tc>
        <w:tc>
          <w:tcPr>
            <w:tcW w:w="78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Q4 2025</w:t>
            </w:r>
          </w:p>
        </w:tc>
        <w:tc>
          <w:tcPr>
            <w:tcW w:w="78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Q3 2025</w:t>
            </w:r>
          </w:p>
        </w:tc>
        <w:tc>
          <w:tcPr>
            <w:tcW w:w="79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6M</w:t>
              <w:br/>
              <w:t>2026</w:t>
            </w:r>
          </w:p>
        </w:tc>
        <w:tc>
          <w:tcPr>
            <w:tcW w:w="691"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6M</w:t>
              <w:br/>
              <w:t>2025</w:t>
            </w:r>
          </w:p>
        </w:tc>
        <w:tc>
          <w:tcPr>
            <w:tcW w:w="61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20"/>
              </w:rPr>
            </w:pPr>
            <w:r>
              <w:rPr>
                <w:rFonts w:ascii="Arial;sans-serif" w:hAnsi="Arial;sans-serif"/>
                <w:b/>
                <w:color w:val="FFFFFF"/>
                <w:sz w:val="20"/>
              </w:rPr>
              <w:t>YoY</w:t>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Lithium Carbonate Production</w:t>
            </w:r>
          </w:p>
        </w:tc>
        <w:tc>
          <w:tcPr>
            <w:tcW w:w="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k tonnes</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9.3</w:t>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w:t>
            </w:r>
          </w:p>
        </w:tc>
        <w:tc>
          <w:tcPr>
            <w:tcW w:w="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8.3</w:t>
            </w:r>
          </w:p>
        </w:tc>
        <w:tc>
          <w:tcPr>
            <w:tcW w:w="796"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19.0</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15.7</w:t>
            </w:r>
          </w:p>
        </w:tc>
        <w:tc>
          <w:tcPr>
            <w:tcW w:w="616" w:type="dxa"/>
            <w:gridSpan w:val="3"/>
            <w:tcBorders/>
            <w:shd w:fill="D9D9D9"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21%</w:t>
            </w:r>
          </w:p>
        </w:tc>
      </w:tr>
      <w:tr>
        <w:trPr/>
        <w:tc>
          <w:tcPr>
            <w:tcW w:w="413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Realized Price</w:t>
            </w:r>
          </w:p>
        </w:tc>
        <w:tc>
          <w:tcPr>
            <w:tcW w:w="8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US$ / t</w:t>
            </w:r>
          </w:p>
        </w:tc>
        <w:tc>
          <w:tcPr>
            <w:tcW w:w="796"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$19,563</w:t>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$16,818</w:t>
            </w:r>
          </w:p>
        </w:tc>
        <w:tc>
          <w:tcPr>
            <w:tcW w:w="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$9,049</w:t>
            </w:r>
          </w:p>
        </w:tc>
        <w:tc>
          <w:tcPr>
            <w:tcW w:w="7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$7,522</w:t>
            </w:r>
          </w:p>
        </w:tc>
        <w:tc>
          <w:tcPr>
            <w:tcW w:w="796"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$18,111</w:t>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$7,642</w:t>
            </w:r>
          </w:p>
        </w:tc>
        <w:tc>
          <w:tcPr>
            <w:tcW w:w="616" w:type="dxa"/>
            <w:gridSpan w:val="3"/>
            <w:tcBorders>
              <w:bottom w:val="single" w:sz="8" w:space="0" w:color="000000"/>
            </w:tcBorders>
            <w:shd w:fill="D9D9D9"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137%</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Lithium carbonate production totaled approximately 19,000 tonnes during the first six months of 2026. Production during the first half of the year reflected consistently strong operating performance, with the only interruption being the planned shutdown in the second quarter which completed maintenance and advance optimization and debottlenecking initiatives. Based on operating performance, the Company remains on track to achieve its full-year production guidance of 35,000 to 40,000 tonnes of lithium carbonate.</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Strong operating performance, higher realized lithium prices and a competitive cost profile drove robust financial results and cash generation during the second quarter of 2026. Revenue for the second quarter totaled $174.1 million, reflecting an average realized lithium carbonate selling price of approximately $19,563 per tonne. Higher realized pricing partially offset lower sales volumes following the planned shutdown, resulting in revenue that was broadly consistent with the prior quarter. Costs of sales during the second quarter were $63.1 million, with cash operating costs of approximately $5,897 per tonne of lithium carbonate sold. Quarterly operating cash costs reflected the impact of lower sales volumes following the planned shutdown, higher energy costs and the impact of a stronger Argentine peso.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Adjusted EBITDA for the second quarter of 2026 was $110.3 million, representing a cash operating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70%. The strong margin profile translated into operating cash flow of more than $142 million and Free Cash Flow from Operations of $141 million during the quarter, enabling the project to reduce net debt by $114 million in the second quarter of 2026, and fund $16 million related to cash distributions to Lithium Argentina and Ganfeng.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With commercial production now well established, Cauchari-Olaroz continues to focus on optimizing operating performance while advancing the next phase of growth. During the quarter, the Company continued to advance the planned 45,000 tpa Stage 2 expansion, with completion of the comprehensive Stage 2 development plan expected during the third quarter of 2026.</w: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Health and Safety</w:t>
      </w:r>
    </w:p>
    <w:p>
      <w:pPr>
        <w:pStyle w:val="TextBody"/>
        <w:bidi w:val="0"/>
        <w:spacing w:lineRule="auto" w:line="288" w:before="0" w:after="200"/>
        <w:jc w:val="both"/>
        <w:rPr/>
      </w:pPr>
      <w:r>
        <w:rPr>
          <w:rFonts w:ascii="Arial;sans-serif" w:hAnsi="Arial;sans-serif"/>
          <w:b w:val="false"/>
          <w:color w:val="000000"/>
          <w:sz w:val="20"/>
        </w:rPr>
        <w:t>The Total Recordable Injury Frequency rate for Cauchari-Olaroz for the twelve months ended June 30, 2026</w:t>
      </w:r>
      <w:r>
        <w:rPr>
          <w:color w:val="000000"/>
        </w:rPr>
        <w:t xml:space="preserve"> </w:t>
      </w:r>
      <w:r>
        <w:rPr>
          <w:rFonts w:ascii="Arial;sans-serif" w:hAnsi="Arial;sans-serif"/>
          <w:b w:val="false"/>
          <w:color w:val="000000"/>
          <w:sz w:val="20"/>
        </w:rPr>
        <w:t>was 0.69 per 200,000 hours worked (including contractors at site).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The Lost Time Injury Frequency Rate for Cauchari-Olaroz for the twelve months ended June 30, 2026 was 0.09 per 200,000 hours worked (including contractors at site).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Cauchari-Olaroz remains committed to maintaining a safe, and supportive work environment, with ongoing efforts focused on strengthening safety practices.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Environmental and Social Responsibility</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During 2025, an independent third-party verification of the product carbon footprint for lithium carbonate produced at Cauchari-Olaroz was performed in accordance with ISO 14067:2018 and the GHG Protocol Product Life Cycle Accounting and Reporting Standard with the assurance guidelines established under ISAE 3410. The verification confirmed Scope 1 and Scope 2 emissions of 49,029 tCO₂e, equivalent to a product carbon footprint of 1.438 tCO₂e per tonne of lithium carbonate produced, based on 2025 production of 34,100 tonnes. The verification was conducted with a reasonable level of assurance and subsequently underwent an independent technical review by Bureau Veritas Brasil.</w:t>
      </w:r>
    </w:p>
    <w:p>
      <w:pPr>
        <w:pStyle w:val="TextBody"/>
        <w:bidi w:val="0"/>
        <w:spacing w:lineRule="auto" w:line="288" w:before="0" w:after="0"/>
        <w:jc w:val="both"/>
        <w:rPr/>
      </w:pPr>
      <w:r>
        <w:rPr>
          <w:rFonts w:ascii="Arial;sans-serif" w:hAnsi="Arial;sans-serif"/>
          <w:b w:val="false"/>
          <w:color w:val="000000"/>
          <w:sz w:val="10"/>
        </w:rPr>
        <w:t>2</w:t>
      </w:r>
      <w:r>
        <w:rPr>
          <w:color w:val="000000"/>
        </w:rPr>
        <w:t xml:space="preserve"> </w:t>
      </w:r>
      <w:r>
        <w:rPr>
          <w:rFonts w:ascii="Arial;sans-serif" w:hAnsi="Arial;sans-serif"/>
          <w:b w:val="false"/>
          <w:color w:val="000000"/>
          <w:sz w:val="16"/>
        </w:rPr>
        <w:t>Refer to section titled “Non-IFRS and Other Financial Measures” below.</w:t>
      </w:r>
    </w:p>
    <w:p>
      <w:pPr>
        <w:pStyle w:val="TextBody"/>
        <w:bidi w:val="0"/>
        <w:spacing w:lineRule="auto" w:line="288"/>
        <w:jc w:val="both"/>
        <w:rPr/>
      </w:pPr>
      <w:r>
        <w:rPr>
          <w:rFonts w:ascii="Arial;sans-serif" w:hAnsi="Arial;sans-serif"/>
          <w:b w:val="false"/>
          <w:color w:val="000000"/>
          <w:sz w:val="10"/>
        </w:rPr>
        <w:t>4</w:t>
      </w:r>
      <w:r>
        <w:rPr>
          <w:color w:val="000000"/>
        </w:rPr>
        <w:t xml:space="preserve"> </w:t>
      </w:r>
      <w:r>
        <w:rPr>
          <w:rFonts w:ascii="Arial;sans-serif" w:hAnsi="Arial;sans-serif"/>
          <w:b w:val="false"/>
          <w:color w:val="000000"/>
          <w:sz w:val="16"/>
        </w:rPr>
        <w:t>Information in this section is presented on a 100% basis of the Cauchari-Olaroz operation; the Company’s economic interest is 44.8%.</w:t>
      </w:r>
    </w:p>
    <w:p>
      <w:pPr>
        <w:pStyle w:val="TextBody"/>
        <w:bidi w:val="0"/>
        <w:spacing w:before="0" w:after="0"/>
        <w:jc w:val="right"/>
        <w:rPr/>
      </w:pPr>
      <w:r>
        <w:rPr/>
        <w:drawing>
          <wp:inline distT="0" distB="0" distL="0" distR="0">
            <wp:extent cx="2095500" cy="238125"/>
            <wp:effectExtent l="0" t="0" r="0" b="0"/>
            <wp:docPr id="10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35" descr=""/>
                    <pic:cNvPicPr>
                      <a:picLocks noChangeAspect="1" noChangeArrowheads="1"/>
                    </pic:cNvPicPr>
                  </pic:nvPicPr>
                  <pic:blipFill>
                    <a:blip r:embed="rId64"/>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16840"/>
                <wp:effectExtent l="0" t="0" r="0" b="0"/>
                <wp:wrapNone/>
                <wp:docPr id="101"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4</w:t>
                      </w:r>
                    </w:p>
                  </w:txbxContent>
                </v:textbox>
                <w10:wrap type="none"/>
              </v:rect>
            </w:pict>
          </mc:Fallback>
        </mc:AlternateContent>
      </w:r>
    </w:p>
    <w:p>
      <w:pPr>
        <w:pStyle w:val="TextBody"/>
        <w:bidi w:val="0"/>
        <w:spacing w:before="0" w:after="0"/>
        <w:jc w:val="both"/>
        <w:rPr/>
      </w:pPr>
      <w:r>
        <w:rPr/>
      </w:r>
    </w:p>
    <w:p>
      <w:pPr>
        <w:pStyle w:val="TextBody"/>
        <w:bidi w:val="0"/>
        <w:spacing w:lineRule="auto" w:line="268" w:before="0" w:after="0"/>
        <w:jc w:val="both"/>
        <w:rPr/>
      </w:pPr>
      <w:r>
        <w:rPr>
          <w:rFonts w:ascii="Arial;sans-serif" w:hAnsi="Arial;sans-serif"/>
          <w:b w:val="false"/>
          <w:color w:val="000000"/>
          <w:sz w:val="20"/>
        </w:rPr>
        <w:t>Cauchari-Olaroz initiated the Responsible Minerals Initiative (RMI) Responsible Sourcing Assurance Process (“</w:t>
      </w:r>
      <w:r>
        <w:rPr>
          <w:rFonts w:ascii="Arial;sans-serif" w:hAnsi="Arial;sans-serif"/>
          <w:b/>
          <w:color w:val="000000"/>
          <w:sz w:val="20"/>
        </w:rPr>
        <w:t>RMAP</w:t>
      </w:r>
      <w:r>
        <w:rPr>
          <w:color w:val="000000"/>
        </w:rPr>
        <w:t>”</w:t>
      </w:r>
      <w:r>
        <w:rPr>
          <w:rFonts w:ascii="Arial;sans-serif" w:hAnsi="Arial;sans-serif"/>
          <w:b w:val="false"/>
          <w:color w:val="000000"/>
          <w:sz w:val="20"/>
        </w:rPr>
        <w:t>) to ensure its supply chain adheres to the highest ethical and environmental standards. In December 2024, it was officially added to the RMAP active list. Subsequently, in June 2025, the operation successfully completed an on-site audit as part of the RMAP requirements. This independent assessment validates that the Company’s due diligence and management systems align with internationally recognized responsible sourcing standards. In May 2026, Cauchari-Olaroz successfully obtained RMAP certification. To maintain this certification, the Company has initiated the RMAP re-audit process.</w:t>
      </w:r>
    </w:p>
    <w:p>
      <w:pPr>
        <w:pStyle w:val="TextBody"/>
        <w:bidi w:val="0"/>
        <w:spacing w:before="0" w:after="0"/>
        <w:jc w:val="both"/>
        <w:rPr/>
      </w:pPr>
      <w:r>
        <w:rPr/>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Strategic Growth Initiatives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Stage 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continued to advance the Stage 2 expansion at Cauchari-Olaroz, which is expected to increase production capacity by approximately 45,000 tpa of LCE. An updated Stage 2 development plan remains on track for completion around the end of the third quarter of 2026.</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parallel with the development plan, the Company intends to advance certain early development activities under existing operating permits, including production and exploration drilling, industrial water development and site preparation. These activities are expected to support the broader Stage 2 expansion and position the project for expedited development in the future.</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 is also planning to install an initial 10,000 tpa modular DLE facility as part of a phased Stage 2 development strategy. The modular approach is intended to accelerate development, optimize capital deployment and provide flexibility in the sequencing of the broader 45,000 tpa expansion.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During March 2026, the Company released an updated mineral resource and reserve estimate (“</w:t>
      </w:r>
      <w:r>
        <w:rPr>
          <w:rFonts w:ascii="Arial;sans-serif" w:hAnsi="Arial;sans-serif"/>
          <w:b/>
          <w:color w:val="000000"/>
          <w:sz w:val="20"/>
        </w:rPr>
        <w:t>Updated Estimate</w:t>
      </w:r>
      <w:r>
        <w:rPr>
          <w:color w:val="000000"/>
        </w:rPr>
        <w:t>”</w:t>
      </w:r>
      <w:r>
        <w:rPr>
          <w:rFonts w:ascii="Arial;sans-serif" w:hAnsi="Arial;sans-serif"/>
          <w:b w:val="false"/>
          <w:color w:val="000000"/>
          <w:sz w:val="20"/>
        </w:rPr>
        <w:t>)</w:t>
      </w:r>
      <w:r>
        <w:rPr>
          <w:rFonts w:ascii="Arial;sans-serif" w:hAnsi="Arial;sans-serif"/>
          <w:b w:val="false"/>
          <w:color w:val="000000"/>
          <w:sz w:val="13"/>
        </w:rPr>
        <w:t>5</w:t>
      </w:r>
      <w:r>
        <w:rPr>
          <w:rFonts w:ascii="Arial;sans-serif" w:hAnsi="Arial;sans-serif"/>
          <w:b w:val="false"/>
          <w:color w:val="000000"/>
          <w:sz w:val="20"/>
        </w:rPr>
        <w:t>, which supports Stage 2. The expanded measured and indicated mineral resource estimate increased by 42% to 28.1 million tonnes (“</w:t>
      </w:r>
      <w:r>
        <w:rPr>
          <w:rFonts w:ascii="Arial;sans-serif" w:hAnsi="Arial;sans-serif"/>
          <w:b/>
          <w:color w:val="000000"/>
          <w:sz w:val="20"/>
        </w:rPr>
        <w:t>Mt</w:t>
      </w:r>
      <w:r>
        <w:rPr>
          <w:color w:val="000000"/>
        </w:rPr>
        <w:t>”</w:t>
      </w:r>
      <w:r>
        <w:rPr>
          <w:rFonts w:ascii="Arial;sans-serif" w:hAnsi="Arial;sans-serif"/>
          <w:b w:val="false"/>
          <w:color w:val="000000"/>
          <w:sz w:val="20"/>
        </w:rPr>
        <w:t>) of LCE at an average grade of 562 mg/L lithium, to support the Stage 2 development plan.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PPG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Lithium Argentina has entered into a framework agreement with respect to the New JV to develop PPG. Upon closing, Ganfeng and Lithium Argentina will own 67% and 33%, respectively. The New JV will be modeled on the Cauchari-Olaroz joint venture including proportional ownership and funding, shared governance with clear decision rights, and pro-rata offtake allocation. Under the contemplated structure, Ganfeng will act as the lead technical partner and operator, incorporating its technical expertise for Direct Lithium Extraction (“</w:t>
      </w:r>
      <w:r>
        <w:rPr>
          <w:rFonts w:ascii="Arial;sans-serif" w:hAnsi="Arial;sans-serif"/>
          <w:b/>
          <w:color w:val="000000"/>
          <w:sz w:val="20"/>
        </w:rPr>
        <w:t>DLE</w:t>
      </w:r>
      <w:r>
        <w:rPr>
          <w:color w:val="000000"/>
        </w:rPr>
        <w:t>”</w:t>
      </w:r>
      <w:r>
        <w:rPr>
          <w:rFonts w:ascii="Arial;sans-serif" w:hAnsi="Arial;sans-serif"/>
          <w:b w:val="false"/>
          <w:color w:val="000000"/>
          <w:sz w:val="20"/>
        </w:rPr>
        <w:t>) (as defined herein) and downstream processing, while Lithium Argentina will provide its strong upstream and local knowledge and bring expertise to support the permitting, in-country execution, and stakeholder engagement.</w:t>
      </w:r>
    </w:p>
    <w:p>
      <w:pPr>
        <w:pStyle w:val="TextBody"/>
        <w:bidi w:val="0"/>
        <w:spacing w:before="0" w:after="0"/>
        <w:jc w:val="both"/>
        <w:rPr/>
      </w:pPr>
      <w:r>
        <w:rPr/>
      </w:r>
    </w:p>
    <w:p>
      <w:pPr>
        <w:pStyle w:val="TextBody"/>
        <w:bidi w:val="0"/>
        <w:spacing w:lineRule="auto" w:line="288" w:before="0" w:after="200"/>
        <w:jc w:val="both"/>
        <w:rPr/>
      </w:pPr>
      <w:r>
        <w:rPr>
          <w:rFonts w:ascii="Arial;sans-serif" w:hAnsi="Arial;sans-serif"/>
          <w:b w:val="false"/>
          <w:color w:val="000000"/>
          <w:sz w:val="20"/>
        </w:rPr>
        <w:t>A Scoping Study (“</w:t>
      </w:r>
      <w:r>
        <w:rPr>
          <w:rFonts w:ascii="Arial;sans-serif" w:hAnsi="Arial;sans-serif"/>
          <w:b/>
          <w:color w:val="000000"/>
          <w:sz w:val="20"/>
        </w:rPr>
        <w:t>Scoping Study</w:t>
      </w:r>
      <w:r>
        <w:rPr>
          <w:color w:val="000000"/>
        </w:rPr>
        <w:t>”</w:t>
      </w:r>
      <w:r>
        <w:rPr>
          <w:rFonts w:ascii="Arial;sans-serif" w:hAnsi="Arial;sans-serif"/>
          <w:b w:val="false"/>
          <w:color w:val="000000"/>
          <w:sz w:val="20"/>
        </w:rPr>
        <w:t>) for PPG completed in November 2025 outlines a phased development with initial 50,000 tpa of LCE increasing to 150,000 tpa using a hybrid DLE flowsheet that pre-concentrates brine in ponds, then selectively recovers lithium from concentrated brine before final purification and production of lithium carbonate. The technical approach aims to lower reagent and environmental intensity versus traditional processes and is expected to improve product consistency and quality, while reducing costs at a large production scale.</w:t>
      </w:r>
    </w:p>
    <w:p>
      <w:pPr>
        <w:pStyle w:val="TextBody"/>
        <w:bidi w:val="0"/>
        <w:spacing w:lineRule="auto" w:line="288" w:before="0" w:after="200"/>
        <w:jc w:val="both"/>
        <w:rPr/>
      </w:pPr>
      <w:r>
        <w:rPr>
          <w:rFonts w:ascii="Arial;sans-serif" w:hAnsi="Arial;sans-serif"/>
          <w:b w:val="false"/>
          <w:color w:val="000000"/>
          <w:sz w:val="20"/>
        </w:rPr>
        <w:t>The Scoping Study was filed producing an after-tax NPV</w:t>
      </w:r>
      <w:r>
        <w:rPr>
          <w:rFonts w:ascii="Arial;sans-serif" w:hAnsi="Arial;sans-serif"/>
          <w:b w:val="false"/>
          <w:color w:val="000000"/>
          <w:sz w:val="9"/>
        </w:rPr>
        <w:t>8%</w:t>
      </w:r>
      <w:r>
        <w:rPr>
          <w:color w:val="000000"/>
        </w:rPr>
        <w:t xml:space="preserve"> </w:t>
      </w:r>
      <w:r>
        <w:rPr>
          <w:rFonts w:ascii="Arial;sans-serif" w:hAnsi="Arial;sans-serif"/>
          <w:b w:val="false"/>
          <w:color w:val="000000"/>
          <w:sz w:val="20"/>
        </w:rPr>
        <w:t>of $8.1 billion and IRR of 33% at $18,000 per tonne lithium carbonate price. A sensitivity analysis using a long-term lithium carbonate price of $20,000 per tonne — closer to current spot prices — estimates an after-tax NPV</w:t>
      </w:r>
      <w:r>
        <w:rPr>
          <w:rFonts w:ascii="Arial;sans-serif" w:hAnsi="Arial;sans-serif"/>
          <w:b w:val="false"/>
          <w:color w:val="000000"/>
          <w:sz w:val="9"/>
        </w:rPr>
        <w:t>8%</w:t>
      </w:r>
      <w:r>
        <w:rPr>
          <w:color w:val="000000"/>
        </w:rPr>
        <w:t xml:space="preserve"> </w:t>
      </w:r>
      <w:r>
        <w:rPr>
          <w:rFonts w:ascii="Arial;sans-serif" w:hAnsi="Arial;sans-serif"/>
          <w:b w:val="false"/>
          <w:color w:val="000000"/>
          <w:sz w:val="20"/>
        </w:rPr>
        <w:t>of $9.6 billion and IRR of 36%.</w:t>
      </w:r>
    </w:p>
    <w:p>
      <w:pPr>
        <w:pStyle w:val="TextBody"/>
        <w:bidi w:val="0"/>
        <w:spacing w:lineRule="auto" w:line="288"/>
        <w:jc w:val="both"/>
        <w:rPr/>
      </w:pPr>
      <w:r>
        <w:rPr>
          <w:rFonts w:ascii="Arial;sans-serif" w:hAnsi="Arial;sans-serif"/>
          <w:b w:val="false"/>
          <w:color w:val="000000"/>
          <w:sz w:val="10"/>
        </w:rPr>
        <w:t>5</w:t>
      </w:r>
      <w:r>
        <w:rPr>
          <w:color w:val="000000"/>
        </w:rPr>
        <w:t xml:space="preserve"> </w:t>
      </w:r>
      <w:r>
        <w:rPr>
          <w:rFonts w:ascii="Arial;sans-serif" w:hAnsi="Arial;sans-serif"/>
          <w:b w:val="false"/>
          <w:color w:val="000000"/>
          <w:sz w:val="16"/>
        </w:rPr>
        <w:t>See the detailed scientific and technical information on Cauchari-Olaroz prepared in accordance with NI 43-101 (including mineral resources and reserves estimates prepared in accordance with CIM Definition Standards adopted by the Canadian Institute of Mining, Metallurgy and Petroleum on May 10, 2014) and are also reported in accordance with SK-1300. The estimates are supported by a technical report entitled "2026 Cauchari-Olaroz NI 43-101 Technical Report Jujuy, Argentina" with an effective date of February 27, 2026 which was filed on SEDAR+ and with the SEC.</w:t>
      </w:r>
    </w:p>
    <w:p>
      <w:pPr>
        <w:pStyle w:val="TextBody"/>
        <w:bidi w:val="0"/>
        <w:spacing w:before="0" w:after="0"/>
        <w:jc w:val="right"/>
        <w:rPr/>
      </w:pPr>
      <w:r>
        <w:rPr/>
        <w:drawing>
          <wp:inline distT="0" distB="0" distL="0" distR="0">
            <wp:extent cx="2095500" cy="238125"/>
            <wp:effectExtent l="0" t="0" r="0" b="0"/>
            <wp:docPr id="10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36" descr=""/>
                    <pic:cNvPicPr>
                      <a:picLocks noChangeAspect="1" noChangeArrowheads="1"/>
                    </pic:cNvPicPr>
                  </pic:nvPicPr>
                  <pic:blipFill>
                    <a:blip r:embed="rId65"/>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16840"/>
                <wp:effectExtent l="0" t="0" r="0" b="0"/>
                <wp:wrapNone/>
                <wp:docPr id="103"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5</w:t>
                      </w:r>
                    </w:p>
                  </w:txbxContent>
                </v:textbox>
                <w10:wrap type="none"/>
              </v:rect>
            </w:pict>
          </mc:Fallback>
        </mc:AlternateContent>
      </w:r>
    </w:p>
    <w:p>
      <w:pPr>
        <w:pStyle w:val="TextBody"/>
        <w:bidi w:val="0"/>
        <w:spacing w:lineRule="auto" w:line="288" w:before="0" w:after="200"/>
        <w:jc w:val="both"/>
        <w:rPr/>
      </w:pPr>
      <w:r>
        <w:rPr>
          <w:rFonts w:ascii="Arial;sans-serif" w:hAnsi="Arial;sans-serif"/>
          <w:b w:val="false"/>
          <w:color w:val="000000"/>
          <w:sz w:val="20"/>
        </w:rPr>
        <w:t>A technical report, prepared by Golder Associates (“</w:t>
      </w:r>
      <w:r>
        <w:rPr>
          <w:rFonts w:ascii="Arial;sans-serif" w:hAnsi="Arial;sans-serif"/>
          <w:b/>
          <w:color w:val="000000"/>
          <w:sz w:val="20"/>
        </w:rPr>
        <w:t>Golder</w:t>
      </w:r>
      <w:r>
        <w:rPr>
          <w:color w:val="000000"/>
        </w:rPr>
        <w:t>”</w:t>
      </w:r>
      <w:r>
        <w:rPr>
          <w:rFonts w:ascii="Arial;sans-serif" w:hAnsi="Arial;sans-serif"/>
          <w:b w:val="false"/>
          <w:color w:val="000000"/>
          <w:sz w:val="20"/>
        </w:rPr>
        <w:t xml:space="preserve">), in accordance with National Instrument 43-101 </w:t>
      </w:r>
      <w:r>
        <w:rPr>
          <w:rFonts w:ascii="Arial;sans-serif" w:hAnsi="Arial;sans-serif"/>
          <w:b w:val="false"/>
          <w:i/>
          <w:color w:val="000000"/>
          <w:sz w:val="20"/>
        </w:rPr>
        <w:t>Standards of Disclosure for Mineral Projects</w:t>
      </w:r>
      <w:r>
        <w:rPr>
          <w:color w:val="000000"/>
        </w:rPr>
        <w:t xml:space="preserve"> </w:t>
      </w:r>
      <w:r>
        <w:rPr>
          <w:rFonts w:ascii="Arial;sans-serif" w:hAnsi="Arial;sans-serif"/>
          <w:b w:val="false"/>
          <w:color w:val="000000"/>
          <w:sz w:val="20"/>
        </w:rPr>
        <w:t>(“</w:t>
      </w:r>
      <w:r>
        <w:rPr>
          <w:rFonts w:ascii="Arial;sans-serif" w:hAnsi="Arial;sans-serif"/>
          <w:b/>
          <w:color w:val="000000"/>
          <w:sz w:val="20"/>
        </w:rPr>
        <w:t>NI 43-101</w:t>
      </w:r>
      <w:r>
        <w:rPr>
          <w:color w:val="000000"/>
        </w:rPr>
        <w:t>”</w:t>
      </w:r>
      <w:r>
        <w:rPr>
          <w:rFonts w:ascii="Arial;sans-serif" w:hAnsi="Arial;sans-serif"/>
          <w:b w:val="false"/>
          <w:color w:val="000000"/>
          <w:sz w:val="20"/>
        </w:rPr>
        <w:t>) and Subpart 1300 of Regulation S-K (“</w:t>
      </w:r>
      <w:r>
        <w:rPr>
          <w:rFonts w:ascii="Arial;sans-serif" w:hAnsi="Arial;sans-serif"/>
          <w:b/>
          <w:color w:val="000000"/>
          <w:sz w:val="20"/>
        </w:rPr>
        <w:t>SK 1300</w:t>
      </w:r>
      <w:r>
        <w:rPr>
          <w:color w:val="000000"/>
        </w:rPr>
        <w:t>”</w:t>
      </w:r>
      <w:r>
        <w:rPr>
          <w:rFonts w:ascii="Arial;sans-serif" w:hAnsi="Arial;sans-serif"/>
          <w:b w:val="false"/>
          <w:color w:val="000000"/>
          <w:sz w:val="20"/>
        </w:rPr>
        <w:t>), was filed. The technical report has an effective date of October 31, 2025. Unless otherwise indicated, all figures are in U.S. dollars and on a 100% basis.</w:t>
      </w:r>
    </w:p>
    <w:p>
      <w:pPr>
        <w:pStyle w:val="TextBody"/>
        <w:bidi w:val="0"/>
        <w:spacing w:lineRule="auto" w:line="288" w:before="0" w:after="200"/>
        <w:jc w:val="both"/>
        <w:rPr/>
      </w:pPr>
      <w:r>
        <w:rPr>
          <w:rFonts w:ascii="Arial;sans-serif" w:hAnsi="Arial;sans-serif"/>
          <w:b/>
          <w:color w:val="000000"/>
          <w:sz w:val="20"/>
        </w:rPr>
        <w:t>Scoping Study Results - Summary</w:t>
      </w:r>
      <w:r>
        <w:rPr>
          <w:rFonts w:ascii="Arial;sans-serif" w:hAnsi="Arial;sans-serif"/>
          <w:b/>
          <w:color w:val="000000"/>
          <w:sz w:val="13"/>
        </w:rPr>
        <w:t>6</w:t>
      </w:r>
    </w:p>
    <w:p>
      <w:pPr>
        <w:pStyle w:val="TextBody"/>
        <w:bidi w:val="0"/>
        <w:spacing w:lineRule="auto" w:line="288" w:before="0" w:after="200"/>
        <w:jc w:val="both"/>
        <w:rPr/>
      </w:pPr>
      <w:r>
        <w:rPr>
          <w:rFonts w:ascii="Arial;sans-serif" w:hAnsi="Arial;sans-serif"/>
          <w:b w:val="false"/>
          <w:color w:val="000000"/>
          <w:sz w:val="20"/>
        </w:rPr>
        <w:t>The financial results are derived from inputs based on an annual production schedule included in the Scoping Study. The PPG Scoping Study estimates strong returns with incremental after-tax NPV</w:t>
      </w:r>
      <w:r>
        <w:rPr>
          <w:rFonts w:ascii="Arial;sans-serif" w:hAnsi="Arial;sans-serif"/>
          <w:b w:val="false"/>
          <w:color w:val="000000"/>
          <w:sz w:val="9"/>
        </w:rPr>
        <w:t>10%</w:t>
      </w:r>
      <w:r>
        <w:rPr>
          <w:color w:val="000000"/>
        </w:rPr>
        <w:t xml:space="preserve"> </w:t>
      </w:r>
      <w:r>
        <w:rPr>
          <w:rFonts w:ascii="Arial;sans-serif" w:hAnsi="Arial;sans-serif"/>
          <w:b w:val="false"/>
          <w:color w:val="000000"/>
          <w:sz w:val="20"/>
        </w:rPr>
        <w:t>of $5.8 billion and NPV</w:t>
      </w:r>
      <w:r>
        <w:rPr>
          <w:rFonts w:ascii="Arial;sans-serif" w:hAnsi="Arial;sans-serif"/>
          <w:b w:val="false"/>
          <w:color w:val="000000"/>
          <w:sz w:val="9"/>
        </w:rPr>
        <w:t xml:space="preserve">8% </w:t>
      </w:r>
      <w:r>
        <w:rPr>
          <w:rFonts w:ascii="Arial;sans-serif" w:hAnsi="Arial;sans-serif"/>
          <w:b w:val="false"/>
          <w:color w:val="000000"/>
          <w:sz w:val="20"/>
        </w:rPr>
        <w:t>of $8.1 billion. A sensitivity analysis of long-term lithium carbonate price on the economic results for the 150,000 tpa of LCE over a 30-year operating period is summarized below.</w:t>
      </w:r>
    </w:p>
    <w:tbl>
      <w:tblPr>
        <w:tblW w:w="3989" w:type="dxa"/>
        <w:jc w:val="left"/>
        <w:tblInd w:w="0" w:type="dxa"/>
        <w:tblLayout w:type="fixed"/>
        <w:tblCellMar>
          <w:top w:w="28" w:type="dxa"/>
          <w:left w:w="28" w:type="dxa"/>
          <w:bottom w:w="28" w:type="dxa"/>
          <w:right w:w="28" w:type="dxa"/>
        </w:tblCellMar>
      </w:tblPr>
      <w:tblGrid>
        <w:gridCol w:w="892"/>
        <w:gridCol w:w="781"/>
        <w:gridCol w:w="787"/>
        <w:gridCol w:w="448"/>
        <w:gridCol w:w="448"/>
        <w:gridCol w:w="633"/>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left w:val="single" w:sz="8" w:space="0" w:color="000000"/>
            </w:tcBorders>
            <w:shd w:fill="153A57" w:val="clear"/>
            <w:tcMar>
              <w:top w:w="52" w:type="dxa"/>
              <w:left w:w="106"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Key Results</w:t>
            </w:r>
          </w:p>
        </w:tc>
        <w:tc>
          <w:tcPr>
            <w:tcW w:w="1529" w:type="dxa"/>
            <w:gridSpan w:val="3"/>
            <w:tcBorders>
              <w:top w:val="single" w:sz="8" w:space="0" w:color="000000"/>
              <w:left w:val="single" w:sz="8" w:space="0" w:color="000000"/>
              <w:right w:val="single" w:sz="8" w:space="0" w:color="000000"/>
            </w:tcBorders>
            <w:shd w:fill="153A57" w:val="clear"/>
            <w:tcMar>
              <w:bottom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left w:val="single" w:sz="8" w:space="0" w:color="000000"/>
            </w:tcBorders>
            <w:shd w:fill="153A57" w:val="clear"/>
            <w:tcMar>
              <w:top w:w="52" w:type="dxa"/>
              <w:left w:w="106"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Operating Profile</w:t>
            </w:r>
          </w:p>
        </w:tc>
        <w:tc>
          <w:tcPr>
            <w:tcW w:w="1529" w:type="dxa"/>
            <w:gridSpan w:val="3"/>
            <w:tcBorders>
              <w:top w:val="single" w:sz="8" w:space="0" w:color="000000"/>
              <w:left w:val="single" w:sz="8" w:space="0" w:color="000000"/>
              <w:right w:val="single" w:sz="8" w:space="0" w:color="000000"/>
            </w:tcBorders>
            <w:shd w:fill="153A57" w:val="clear"/>
            <w:tcMar>
              <w:bottom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Production</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150,000 tpa LCE</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Annual Production – Stage 1</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50,000 tpa LCE</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Project life</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30 years</w:t>
            </w:r>
          </w:p>
        </w:tc>
      </w:tr>
      <w:tr>
        <w:trPr/>
        <w:tc>
          <w:tcPr>
            <w:tcW w:w="2460" w:type="dxa"/>
            <w:gridSpan w:val="3"/>
            <w:tcBorders>
              <w:top w:val="single" w:sz="8" w:space="0" w:color="000000"/>
              <w:left w:val="single" w:sz="8" w:space="0" w:color="000000"/>
            </w:tcBorders>
            <w:tcMar>
              <w:top w:w="52" w:type="dxa"/>
              <w:left w:w="106"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Economic Parameters</w:t>
            </w:r>
            <w:r>
              <w:rPr>
                <w:rFonts w:ascii="Arial;sans-serif" w:hAnsi="Arial;sans-serif"/>
                <w:b/>
                <w:color w:val="000000"/>
                <w:sz w:val="12"/>
              </w:rPr>
              <w:t>7</w:t>
            </w:r>
          </w:p>
        </w:tc>
        <w:tc>
          <w:tcPr>
            <w:tcW w:w="152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Lithium Carbonate Price</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$18,000 / t</w:t>
            </w:r>
          </w:p>
        </w:tc>
      </w:tr>
      <w:tr>
        <w:trPr/>
        <w:tc>
          <w:tcPr>
            <w:tcW w:w="24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NPV</w:t>
            </w:r>
            <w:r>
              <w:rPr>
                <w:rFonts w:ascii="Arial;sans-serif" w:hAnsi="Arial;sans-serif"/>
                <w:b w:val="false"/>
                <w:color w:val="000000"/>
                <w:sz w:val="12"/>
              </w:rPr>
              <w:t>8%</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$8.1 B</w:t>
            </w:r>
          </w:p>
        </w:tc>
      </w:tr>
      <w:tr>
        <w:trPr/>
        <w:tc>
          <w:tcPr>
            <w:tcW w:w="246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18"/>
              </w:rPr>
              <w:t>NPV</w:t>
            </w:r>
            <w:r>
              <w:rPr>
                <w:rFonts w:ascii="Arial;sans-serif" w:hAnsi="Arial;sans-serif"/>
                <w:b w:val="false"/>
                <w:color w:val="000000"/>
                <w:sz w:val="12"/>
              </w:rPr>
              <w:t>10%</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$5.8 B</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IRR</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32.7%</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Payback</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7 years</w:t>
            </w:r>
          </w:p>
        </w:tc>
      </w:tr>
      <w:tr>
        <w:trPr/>
        <w:tc>
          <w:tcPr>
            <w:tcW w:w="2460" w:type="dxa"/>
            <w:gridSpan w:val="3"/>
            <w:tcBorders>
              <w:top w:val="single" w:sz="8" w:space="0" w:color="000000"/>
              <w:left w:val="single" w:sz="8" w:space="0" w:color="000000"/>
            </w:tcBorders>
            <w:tcMar>
              <w:top w:w="52" w:type="dxa"/>
              <w:left w:w="106"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Financial Metrics</w:t>
            </w:r>
          </w:p>
        </w:tc>
        <w:tc>
          <w:tcPr>
            <w:tcW w:w="1529"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Costs</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$3.3 B</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Capital Costs – Stage 1</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$1.1 B</w:t>
            </w:r>
          </w:p>
        </w:tc>
      </w:tr>
      <w:tr>
        <w:trPr/>
        <w:tc>
          <w:tcPr>
            <w:tcW w:w="2460" w:type="dxa"/>
            <w:gridSpan w:val="3"/>
            <w:tcBorders>
              <w:top w:val="single" w:sz="8" w:space="0" w:color="000000"/>
              <w:left w:val="single" w:sz="8" w:space="0" w:color="000000"/>
            </w:tcBorders>
            <w:tcMar>
              <w:top w:w="52" w:type="dxa"/>
              <w:left w:w="615"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Operating Costs</w:t>
            </w:r>
          </w:p>
        </w:tc>
        <w:tc>
          <w:tcPr>
            <w:tcW w:w="152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$5,027 / t</w:t>
            </w:r>
          </w:p>
        </w:tc>
      </w:tr>
      <w:tr>
        <w:trPr/>
        <w:tc>
          <w:tcPr>
            <w:tcW w:w="2460" w:type="dxa"/>
            <w:gridSpan w:val="3"/>
            <w:tcBorders>
              <w:top w:val="single" w:sz="8" w:space="0" w:color="000000"/>
              <w:left w:val="single" w:sz="8" w:space="0" w:color="000000"/>
              <w:bottom w:val="single" w:sz="8" w:space="0" w:color="000000"/>
            </w:tcBorders>
            <w:tcMar>
              <w:top w:w="52" w:type="dxa"/>
              <w:left w:w="615"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Sustaining Capex</w:t>
            </w:r>
          </w:p>
        </w:tc>
        <w:tc>
          <w:tcPr>
            <w:tcW w:w="152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$324 / t</w:t>
            </w:r>
          </w:p>
        </w:tc>
      </w:tr>
    </w:tbl>
    <w:p>
      <w:pPr>
        <w:pStyle w:val="TextBody"/>
        <w:bidi w:val="0"/>
        <w:spacing w:lineRule="auto" w:line="288" w:before="0" w:after="200"/>
        <w:jc w:val="both"/>
        <w:rPr/>
      </w:pPr>
      <w:r>
        <w:rPr>
          <w:rFonts w:ascii="Arial;sans-serif" w:hAnsi="Arial;sans-serif"/>
          <w:b w:val="false"/>
          <w:color w:val="000000"/>
          <w:sz w:val="20"/>
        </w:rPr>
        <w:t xml:space="preserve">The Secretariat of Mining and Energy of the Province of Salta, Argentina, issued the Environmental Impact Statement, </w:t>
      </w:r>
      <w:r>
        <w:rPr>
          <w:rFonts w:ascii="Arial;sans-serif" w:hAnsi="Arial;sans-serif"/>
          <w:b w:val="false"/>
          <w:i/>
          <w:color w:val="000000"/>
          <w:sz w:val="20"/>
        </w:rPr>
        <w:t xml:space="preserve">Declaración de Impacto Ambiental </w:t>
      </w:r>
      <w:r>
        <w:rPr>
          <w:rFonts w:ascii="Arial;sans-serif" w:hAnsi="Arial;sans-serif"/>
          <w:b w:val="false"/>
          <w:color w:val="000000"/>
          <w:sz w:val="20"/>
        </w:rPr>
        <w:t>(</w:t>
      </w:r>
      <w:r>
        <w:rPr>
          <w:color w:val="000000"/>
        </w:rPr>
        <w:t>“</w:t>
      </w:r>
      <w:r>
        <w:rPr>
          <w:rFonts w:ascii="Arial;sans-serif" w:hAnsi="Arial;sans-serif"/>
          <w:b/>
          <w:color w:val="000000"/>
          <w:sz w:val="20"/>
        </w:rPr>
        <w:t>DIA</w:t>
      </w:r>
      <w:r>
        <w:rPr>
          <w:color w:val="000000"/>
        </w:rPr>
        <w:t>”</w:t>
      </w:r>
      <w:r>
        <w:rPr>
          <w:rFonts w:ascii="Arial;sans-serif" w:hAnsi="Arial;sans-serif"/>
          <w:b w:val="false"/>
          <w:color w:val="000000"/>
          <w:sz w:val="20"/>
        </w:rPr>
        <w:t>), for Stage 1 of the PPG Project, closing a 14-month review of the project and the technology. The project has submitted its application to seek eligibility under Argentina’s Régimen de Incentivo para Grandes Inversiones (“</w:t>
      </w:r>
      <w:r>
        <w:rPr>
          <w:rFonts w:ascii="Arial;sans-serif" w:hAnsi="Arial;sans-serif"/>
          <w:b/>
          <w:color w:val="000000"/>
          <w:sz w:val="20"/>
        </w:rPr>
        <w:t>RIGI</w:t>
      </w:r>
      <w:r>
        <w:rPr>
          <w:color w:val="000000"/>
        </w:rPr>
        <w:t>”</w:t>
      </w:r>
      <w:r>
        <w:rPr>
          <w:rFonts w:ascii="Arial;sans-serif" w:hAnsi="Arial;sans-serif"/>
          <w:b w:val="false"/>
          <w:color w:val="000000"/>
          <w:sz w:val="20"/>
        </w:rPr>
        <w:t>) framework to enhance fiscal stability and long-term competitiveness.</w:t>
      </w:r>
    </w:p>
    <w:p>
      <w:pPr>
        <w:pStyle w:val="TextBody"/>
        <w:bidi w:val="0"/>
        <w:spacing w:lineRule="auto" w:line="288" w:before="0" w:after="360"/>
        <w:jc w:val="both"/>
        <w:rPr>
          <w:rFonts w:ascii="Arial;sans-serif" w:hAnsi="Arial;sans-serif"/>
          <w:b w:val="false"/>
          <w:color w:val="000000"/>
          <w:sz w:val="20"/>
        </w:rPr>
      </w:pPr>
      <w:r>
        <w:rPr>
          <w:rFonts w:ascii="Arial;sans-serif" w:hAnsi="Arial;sans-serif"/>
          <w:b w:val="false"/>
          <w:color w:val="000000"/>
          <w:sz w:val="20"/>
        </w:rPr>
        <w:t>The partners are jointly pursuing financing options, including collaboration with potential partners and strategic partners for offtake and minority ownership interests.</w:t>
      </w:r>
    </w:p>
    <w:p>
      <w:pPr>
        <w:pStyle w:val="TextBody"/>
        <w:bidi w:val="0"/>
        <w:spacing w:lineRule="auto" w:line="288" w:before="0" w:after="0"/>
        <w:jc w:val="left"/>
        <w:rPr/>
      </w:pPr>
      <w:r>
        <w:rPr>
          <w:rFonts w:ascii="Arial;sans-serif" w:hAnsi="Arial;sans-serif"/>
          <w:b w:val="false"/>
          <w:color w:val="000000"/>
          <w:sz w:val="10"/>
        </w:rPr>
        <w:t>6</w:t>
      </w:r>
      <w:r>
        <w:rPr>
          <w:color w:val="000000"/>
        </w:rPr>
        <w:t xml:space="preserve"> </w:t>
      </w:r>
      <w:r>
        <w:rPr>
          <w:rFonts w:ascii="Arial;sans-serif" w:hAnsi="Arial;sans-serif"/>
          <w:b w:val="false"/>
          <w:color w:val="000000"/>
          <w:sz w:val="16"/>
        </w:rPr>
        <w:t>All dollar figures are in United States dollars and are on a 100% basis unless otherwise indicated. Canadian investors should review NI 43-101 technical report entitled “Technical Report Scoping Study at the PPG Salar, Salta Province, Argentina” with an effective date of October 31, 2025, available on SEDAR+. An S-K 1300 Technical Report Scoping Study Report at the PPG Salars, Salta Province, Argentina is also available on EDGAR.</w:t>
      </w:r>
    </w:p>
    <w:p>
      <w:pPr>
        <w:pStyle w:val="TextBody"/>
        <w:bidi w:val="0"/>
        <w:spacing w:lineRule="auto" w:line="288" w:before="0" w:after="0"/>
        <w:jc w:val="left"/>
        <w:rPr/>
      </w:pPr>
      <w:r>
        <w:rPr>
          <w:rFonts w:ascii="Arial;sans-serif" w:hAnsi="Arial;sans-serif"/>
          <w:b w:val="false"/>
          <w:color w:val="000000"/>
          <w:sz w:val="10"/>
        </w:rPr>
        <w:t>7</w:t>
      </w:r>
      <w:r>
        <w:rPr>
          <w:color w:val="000000"/>
        </w:rPr>
        <w:t xml:space="preserve"> </w:t>
      </w:r>
      <w:r>
        <w:rPr>
          <w:rFonts w:ascii="Arial;sans-serif" w:hAnsi="Arial;sans-serif"/>
          <w:b w:val="false"/>
          <w:color w:val="000000"/>
          <w:sz w:val="16"/>
        </w:rPr>
        <w:t>After-tax economic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095500" cy="238125"/>
            <wp:effectExtent l="0" t="0" r="0" b="0"/>
            <wp:docPr id="104"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37" descr=""/>
                    <pic:cNvPicPr>
                      <a:picLocks noChangeAspect="1" noChangeArrowheads="1"/>
                    </pic:cNvPicPr>
                  </pic:nvPicPr>
                  <pic:blipFill>
                    <a:blip r:embed="rId66"/>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16840"/>
                <wp:effectExtent l="0" t="0" r="0" b="0"/>
                <wp:wrapNone/>
                <wp:docPr id="105"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6</w:t>
                      </w:r>
                    </w:p>
                  </w:txbxContent>
                </v:textbox>
                <w10:wrap type="none"/>
              </v:rect>
            </w:pict>
          </mc:Fallback>
        </mc:AlternateContent>
      </w:r>
    </w:p>
    <w:p>
      <w:pPr>
        <w:pStyle w:val="TextBody"/>
        <w:bidi w:val="0"/>
        <w:spacing w:lineRule="auto" w:line="288" w:before="0" w:after="200"/>
        <w:jc w:val="both"/>
        <w:rPr/>
      </w:pPr>
      <w:r>
        <w:rPr>
          <w:rFonts w:ascii="Arial;sans-serif" w:hAnsi="Arial;sans-serif"/>
          <w:b/>
          <w:color w:val="153A57"/>
          <w:sz w:val="20"/>
        </w:rPr>
        <w:t>FINANCIAL INFORMATION OF EXAR (on a 100% basis)</w:t>
      </w:r>
      <w:r>
        <w:rPr>
          <w:rFonts w:ascii="Arial;sans-serif" w:hAnsi="Arial;sans-serif"/>
          <w:b/>
          <w:color w:val="153A57"/>
          <w:sz w:val="13"/>
        </w:rPr>
        <w:t>8</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following is the condensed financial information of Exar on a 100% basis, as amended to reflect the Company’s accounting policies. The Company holds a 44.8% economic interest in Exar and accounts for its interest using the equity method of accounting. Accordingly, the recorded results and financial position of Exar are included in a single line item in the Company’s consolidated statements of comprehensive income and financial position, respectively.</w:t>
      </w:r>
    </w:p>
    <w:tbl>
      <w:tblPr>
        <w:tblW w:w="9835" w:type="dxa"/>
        <w:jc w:val="left"/>
        <w:tblInd w:w="0" w:type="dxa"/>
        <w:tblLayout w:type="fixed"/>
        <w:tblCellMar>
          <w:top w:w="28" w:type="dxa"/>
          <w:left w:w="28" w:type="dxa"/>
          <w:bottom w:w="28" w:type="dxa"/>
          <w:right w:w="28" w:type="dxa"/>
        </w:tblCellMar>
      </w:tblPr>
      <w:tblGrid>
        <w:gridCol w:w="1727"/>
        <w:gridCol w:w="1518"/>
        <w:gridCol w:w="1525"/>
        <w:gridCol w:w="435"/>
        <w:gridCol w:w="435"/>
        <w:gridCol w:w="435"/>
        <w:gridCol w:w="435"/>
        <w:gridCol w:w="435"/>
        <w:gridCol w:w="449"/>
        <w:gridCol w:w="378"/>
        <w:gridCol w:w="378"/>
        <w:gridCol w:w="378"/>
        <w:gridCol w:w="378"/>
        <w:gridCol w:w="378"/>
        <w:gridCol w:w="551"/>
      </w:tblGrid>
      <w:tr>
        <w:trPr/>
        <w:tc>
          <w:tcPr>
            <w:tcW w:w="1727"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20"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1"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Exar Condensed Statement of Comprehensive Income</w:t>
            </w:r>
          </w:p>
        </w:tc>
        <w:tc>
          <w:tcPr>
            <w:tcW w:w="1305"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1134"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(100% basis unless otherwise indicated)</w:t>
            </w:r>
          </w:p>
        </w:tc>
        <w:tc>
          <w:tcPr>
            <w:tcW w:w="1305"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134"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4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Sales</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342.4 </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121.5 </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(128.3)</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(117.1)</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Gross profit</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214.1 </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Selling and distribution expenses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Administrative and other expenses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costs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(27.9)</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(40.5)</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(50.9)</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loss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gain/(loss)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169.4 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96.5 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income/(expense)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expense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(35.4)</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(46.7)</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income/(loss)</w:t>
            </w:r>
          </w:p>
        </w:tc>
        <w:tc>
          <w:tcPr>
            <w:tcW w:w="870"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27.0</w:t>
            </w:r>
            <w:r>
              <w:rPr>
                <w:color w:val="000000"/>
              </w:rPr>
              <w:t> </w:t>
            </w:r>
          </w:p>
        </w:tc>
        <w:tc>
          <w:tcPr>
            <w:tcW w:w="435"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83.7</w:t>
            </w:r>
            <w:r>
              <w:rPr>
                <w:color w:val="000000"/>
              </w:rPr>
              <w:t> </w:t>
            </w:r>
          </w:p>
        </w:tc>
        <w:tc>
          <w:tcPr>
            <w:tcW w:w="4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76.3</w:t>
            </w:r>
            <w:r>
              <w:rPr>
                <w:color w:val="000000"/>
              </w:rPr>
              <w:t> </w:t>
            </w:r>
          </w:p>
        </w:tc>
        <w:tc>
          <w:tcPr>
            <w:tcW w:w="378"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(3.2)</w:t>
            </w:r>
          </w:p>
        </w:tc>
        <w:tc>
          <w:tcPr>
            <w:tcW w:w="5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Revenue and Gross Profit</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Sales increased 173% to $174.1 million for the three months ended June 30, 2026 (2025 - $63.7 million), primarily driven by an increase in realized price. </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Gross profit increased to $111.0 million for the three months ended June 30, 2026 (2025 - $0.4 million), with gross margin improving to 64% from 1%, reflecting improved pricing and operating efficiencies as production increased.</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Net Income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income decreased 68% to $27.0 million for the three months ended June 30, 2026 (2025 - $83.7 million), primarily due to lower derivative gain.</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Exar’s cost of sales includes depreciation of $15.0 (2025 - $14.8) for the three months ended June 30, 2026 and $31.1 million (2025 - $26.8 million) for the six months ended June 30, 2026.</w:t>
      </w:r>
    </w:p>
    <w:p>
      <w:pPr>
        <w:pStyle w:val="TextBody"/>
        <w:bidi w:val="0"/>
        <w:spacing w:lineRule="auto" w:line="288"/>
        <w:jc w:val="both"/>
        <w:rPr/>
      </w:pPr>
      <w:r>
        <w:rPr>
          <w:rFonts w:ascii="Arial;sans-serif" w:hAnsi="Arial;sans-serif"/>
          <w:b w:val="false"/>
          <w:color w:val="000000"/>
          <w:sz w:val="10"/>
        </w:rPr>
        <w:t>8</w:t>
      </w:r>
      <w:r>
        <w:rPr>
          <w:color w:val="000000"/>
        </w:rPr>
        <w:t xml:space="preserve"> </w:t>
      </w:r>
      <w:r>
        <w:rPr>
          <w:rFonts w:ascii="Arial;sans-serif" w:hAnsi="Arial;sans-serif"/>
          <w:b w:val="false"/>
          <w:color w:val="000000"/>
          <w:sz w:val="16"/>
        </w:rPr>
        <w:t>Information in this section is presented on a 100% basis of the Cauchari-Olaroz operation; the Company’s economic interest is 44.8%.</w:t>
      </w:r>
    </w:p>
    <w:p>
      <w:pPr>
        <w:pStyle w:val="TextBody"/>
        <w:bidi w:val="0"/>
        <w:spacing w:before="0" w:after="0"/>
        <w:jc w:val="right"/>
        <w:rPr/>
      </w:pPr>
      <w:r>
        <w:rPr/>
        <w:drawing>
          <wp:inline distT="0" distB="0" distL="0" distR="0">
            <wp:extent cx="2095500" cy="238125"/>
            <wp:effectExtent l="0" t="0" r="0" b="0"/>
            <wp:docPr id="10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38" descr=""/>
                    <pic:cNvPicPr>
                      <a:picLocks noChangeAspect="1" noChangeArrowheads="1"/>
                    </pic:cNvPicPr>
                  </pic:nvPicPr>
                  <pic:blipFill>
                    <a:blip r:embed="rId67"/>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16840"/>
                <wp:effectExtent l="0" t="0" r="0" b="0"/>
                <wp:wrapNone/>
                <wp:docPr id="107"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txbxContent>
                </v:textbox>
                <w10:wrap type="none"/>
              </v:rect>
            </w:pict>
          </mc:Fallback>
        </mc:AlternateConten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Financial Position</w:t>
      </w:r>
    </w:p>
    <w:tbl>
      <w:tblPr>
        <w:tblW w:w="7768" w:type="dxa"/>
        <w:jc w:val="left"/>
        <w:tblInd w:w="0" w:type="dxa"/>
        <w:tblLayout w:type="fixed"/>
        <w:tblCellMar>
          <w:top w:w="28" w:type="dxa"/>
          <w:left w:w="28" w:type="dxa"/>
          <w:bottom w:w="28" w:type="dxa"/>
          <w:right w:w="28" w:type="dxa"/>
        </w:tblCellMar>
      </w:tblPr>
      <w:tblGrid>
        <w:gridCol w:w="1690"/>
        <w:gridCol w:w="1485"/>
        <w:gridCol w:w="1489"/>
        <w:gridCol w:w="429"/>
        <w:gridCol w:w="429"/>
        <w:gridCol w:w="431"/>
        <w:gridCol w:w="530"/>
        <w:gridCol w:w="530"/>
        <w:gridCol w:w="755"/>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Exar Condensed Balance Sheet</w:t>
            </w:r>
          </w:p>
        </w:tc>
        <w:tc>
          <w:tcPr>
            <w:tcW w:w="1289" w:type="dxa"/>
            <w:gridSpan w:val="3"/>
            <w:tcBorders>
              <w:top w:val="single" w:sz="20"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(100% basis unless otherwise indicated)</w:t>
            </w:r>
          </w:p>
        </w:tc>
        <w:tc>
          <w:tcPr>
            <w:tcW w:w="128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46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89"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394.6 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344.5 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858"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487.6 </w:t>
            </w:r>
          </w:p>
        </w:tc>
        <w:tc>
          <w:tcPr>
            <w:tcW w:w="43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431.3 </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assets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1,384.1 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1,409.3 </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Third-party loans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(169.7)</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(242.9)</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(69.7)</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(61.6)</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858"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(239.4)</w:t>
            </w:r>
          </w:p>
        </w:tc>
        <w:tc>
          <w:tcPr>
            <w:tcW w:w="431"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(304.5)</w:t>
            </w:r>
          </w:p>
        </w:tc>
        <w:tc>
          <w:tcPr>
            <w:tcW w:w="7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Non-current liabilities:</w:t>
            </w:r>
          </w:p>
        </w:tc>
        <w:tc>
          <w:tcPr>
            <w:tcW w:w="1289"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Third-party loans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(49.8)</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from Exar Capital</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(935.8)</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(911.3)</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Loans from PGCo</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(71.5)</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Derivative liability on loans from Exar Capital and PGCo</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(14.3)</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(138.4)</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(90.6)</w:t>
            </w:r>
          </w:p>
        </w:tc>
        <w:tc>
          <w:tcPr>
            <w:tcW w:w="7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assets</w:t>
            </w:r>
          </w:p>
        </w:tc>
        <w:tc>
          <w:tcPr>
            <w:tcW w:w="858"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478.6</w:t>
            </w:r>
            <w:r>
              <w:rPr>
                <w:color w:val="000000"/>
              </w:rPr>
              <w:t> </w:t>
            </w:r>
          </w:p>
        </w:tc>
        <w:tc>
          <w:tcPr>
            <w:tcW w:w="431"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402.3</w:t>
            </w:r>
            <w:r>
              <w:rPr>
                <w:color w:val="000000"/>
              </w:rPr>
              <w:t> </w:t>
            </w:r>
          </w:p>
        </w:tc>
        <w:tc>
          <w:tcPr>
            <w:tcW w:w="755"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 xml:space="preserve">In late 2025 and first half of 2026, Cauchari-Olaroz completed $98.4 million ($48.2 million for the Company’s share) in cash distributions from the operation, and additional $60 million subsequent to June 30, 2026 ($27 million for the Company's share). </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Net assets increased to 478.6 million at June 30, 2026 (2025 – $402.3 million), reflecting a $31.0 million increase in assets, mainly higher trade receivables and short-term investments, and a $45.3 million decrease in liabilities, primarily the PPG shareholder loan repayment and a reduction of third-party loans partially offset by an increase in deferred tax liability.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Current assets increased to $487.6 million (2025 – $431.3 million), driven primarily by a $48.6 million increase in trade receivables reflecting higher realized lithium prices, and a $46.3 million increase in short-term investments as balances were deployed into securities, partially offset by lower cash balances following debt service.</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As of June 30, 2026, Exar’s outstanding third-party debt amounted to $234.9 million (2025 – $292.7 million), while its cash and short-term investments balance was $93.0 million (2025 – $86.7 million).</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Shareholder loans from Exar Capital, representing historical source of funding, totaled $935.8 million (2025 – $911.3 million).</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drawing>
          <wp:inline distT="0" distB="0" distL="0" distR="0">
            <wp:extent cx="2095500" cy="238125"/>
            <wp:effectExtent l="0" t="0" r="0" b="0"/>
            <wp:docPr id="10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9" descr=""/>
                    <pic:cNvPicPr>
                      <a:picLocks noChangeAspect="1" noChangeArrowheads="1"/>
                    </pic:cNvPicPr>
                  </pic:nvPicPr>
                  <pic:blipFill>
                    <a:blip r:embed="rId68"/>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16840"/>
                <wp:effectExtent l="0" t="0" r="0" b="0"/>
                <wp:wrapNone/>
                <wp:docPr id="109"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 xml:space="preserve">Cash Flows </w:t>
      </w:r>
    </w:p>
    <w:tbl>
      <w:tblPr>
        <w:tblW w:w="10205" w:type="dxa"/>
        <w:jc w:val="left"/>
        <w:tblInd w:w="0" w:type="dxa"/>
        <w:tblLayout w:type="fixed"/>
        <w:tblCellMar>
          <w:top w:w="28" w:type="dxa"/>
          <w:left w:w="28" w:type="dxa"/>
          <w:bottom w:w="28" w:type="dxa"/>
          <w:right w:w="28" w:type="dxa"/>
        </w:tblCellMar>
      </w:tblPr>
      <w:tblGrid>
        <w:gridCol w:w="1886"/>
        <w:gridCol w:w="1658"/>
        <w:gridCol w:w="1663"/>
        <w:gridCol w:w="435"/>
        <w:gridCol w:w="427"/>
        <w:gridCol w:w="425"/>
        <w:gridCol w:w="434"/>
        <w:gridCol w:w="425"/>
        <w:gridCol w:w="438"/>
        <w:gridCol w:w="378"/>
        <w:gridCol w:w="374"/>
        <w:gridCol w:w="370"/>
        <w:gridCol w:w="378"/>
        <w:gridCol w:w="370"/>
        <w:gridCol w:w="544"/>
      </w:tblGrid>
      <w:tr>
        <w:trPr/>
        <w:tc>
          <w:tcPr>
            <w:tcW w:w="1886"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Exar Condensed Statement of Cash Flows</w:t>
            </w:r>
          </w:p>
        </w:tc>
        <w:tc>
          <w:tcPr>
            <w:tcW w:w="2584"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14"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(100% basis unless otherwise indicated)</w:t>
            </w:r>
          </w:p>
        </w:tc>
        <w:tc>
          <w:tcPr>
            <w:tcW w:w="1287"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9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1122" w:type="dxa"/>
            <w:gridSpan w:val="3"/>
            <w:tcBorders>
              <w:top w:val="single" w:sz="4"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92"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122"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provided/(used) in operating activities</w:t>
            </w:r>
          </w:p>
        </w:tc>
        <w:tc>
          <w:tcPr>
            <w:tcW w:w="86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142.4 </w:t>
            </w:r>
          </w:p>
        </w:tc>
        <w:tc>
          <w:tcPr>
            <w:tcW w:w="42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w:t>
            </w:r>
          </w:p>
        </w:tc>
        <w:tc>
          <w:tcPr>
            <w:tcW w:w="4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177.9 </w:t>
            </w:r>
          </w:p>
        </w:tc>
        <w:tc>
          <w:tcPr>
            <w:tcW w:w="3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(used)/provided by investing activities</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including purchases of property, plant and equipment</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(3.6)</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18"/>
              </w:rPr>
            </w:pPr>
            <w:r>
              <w:rPr>
                <w:rFonts w:ascii="Arial;sans-serif" w:hAnsi="Arial;sans-serif"/>
                <w:b w:val="false"/>
                <w:i/>
                <w:color w:val="000000"/>
                <w:sz w:val="18"/>
              </w:rPr>
              <w:t>including repayment of capitalized interest on shareholder loans</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(15.7)</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(16.6)</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(used)/provided by financing activities</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(145.5)</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foreign exchange on cash</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Change in cash and cash equivalents</w:t>
            </w:r>
          </w:p>
        </w:tc>
        <w:tc>
          <w:tcPr>
            <w:tcW w:w="86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(0.7)</w:t>
            </w:r>
          </w:p>
        </w:tc>
        <w:tc>
          <w:tcPr>
            <w:tcW w:w="42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2.8</w:t>
            </w:r>
            <w:r>
              <w:rPr>
                <w:color w:val="000000"/>
              </w:rPr>
              <w:t> </w:t>
            </w:r>
          </w:p>
        </w:tc>
        <w:tc>
          <w:tcPr>
            <w:tcW w:w="4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(40.1)</w:t>
            </w:r>
          </w:p>
        </w:tc>
        <w:tc>
          <w:tcPr>
            <w:tcW w:w="3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13.8</w:t>
            </w:r>
            <w:r>
              <w:rPr>
                <w:color w:val="000000"/>
              </w:rPr>
              <w:t> </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 beginning of the period</w:t>
            </w:r>
          </w:p>
        </w:tc>
        <w:tc>
          <w:tcPr>
            <w:tcW w:w="86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31.4</w:t>
            </w:r>
            <w:r>
              <w:rPr>
                <w:color w:val="000000"/>
              </w:rPr>
              <w:t> </w:t>
            </w:r>
          </w:p>
        </w:tc>
        <w:tc>
          <w:tcPr>
            <w:tcW w:w="42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22.1</w:t>
            </w:r>
            <w:r>
              <w:rPr>
                <w:color w:val="000000"/>
              </w:rPr>
              <w:t> </w:t>
            </w:r>
          </w:p>
        </w:tc>
        <w:tc>
          <w:tcPr>
            <w:tcW w:w="43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70.8</w:t>
            </w:r>
            <w:r>
              <w:rPr>
                <w:color w:val="000000"/>
              </w:rPr>
              <w:t> </w:t>
            </w:r>
          </w:p>
        </w:tc>
        <w:tc>
          <w:tcPr>
            <w:tcW w:w="370"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11.1</w:t>
            </w:r>
            <w:r>
              <w:rPr>
                <w:color w:val="000000"/>
              </w:rPr>
              <w:t> </w:t>
            </w:r>
          </w:p>
        </w:tc>
        <w:tc>
          <w:tcPr>
            <w:tcW w:w="5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 end of the period</w:t>
            </w:r>
          </w:p>
        </w:tc>
        <w:tc>
          <w:tcPr>
            <w:tcW w:w="86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30.7</w:t>
            </w:r>
            <w:r>
              <w:rPr>
                <w:color w:val="000000"/>
              </w:rPr>
              <w:t> </w:t>
            </w:r>
          </w:p>
        </w:tc>
        <w:tc>
          <w:tcPr>
            <w:tcW w:w="42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24.9</w:t>
            </w:r>
            <w:r>
              <w:rPr>
                <w:color w:val="000000"/>
              </w:rPr>
              <w:t> </w:t>
            </w:r>
          </w:p>
        </w:tc>
        <w:tc>
          <w:tcPr>
            <w:tcW w:w="43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30.7</w:t>
            </w:r>
            <w:r>
              <w:rPr>
                <w:color w:val="000000"/>
              </w:rPr>
              <w:t> </w:t>
            </w:r>
          </w:p>
        </w:tc>
        <w:tc>
          <w:tcPr>
            <w:tcW w:w="370"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24.9</w:t>
            </w:r>
            <w:r>
              <w:rPr>
                <w:color w:val="000000"/>
              </w:rPr>
              <w:t> </w:t>
            </w:r>
          </w:p>
        </w:tc>
        <w:tc>
          <w:tcPr>
            <w:tcW w:w="5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i/>
          <w:color w:val="000000"/>
          <w:sz w:val="16"/>
        </w:rPr>
      </w:pPr>
      <w:r>
        <w:rPr>
          <w:rFonts w:ascii="Arial;sans-serif" w:hAnsi="Arial;sans-serif"/>
          <w:b w:val="false"/>
          <w:i/>
          <w:color w:val="000000"/>
          <w:sz w:val="16"/>
        </w:rPr>
        <w:t>Note: Exar cash flow information is presented on a 100% basis, adjusted for certain reclassifications to conform with Lithium Argentina’s presentation. Figures may not sum due to rounding.</w:t>
      </w:r>
    </w:p>
    <w:p>
      <w:pPr>
        <w:pStyle w:val="TextBody"/>
        <w:bidi w:val="0"/>
        <w:spacing w:before="0" w:after="0"/>
        <w:jc w:val="left"/>
        <w:rPr/>
      </w:pPr>
      <w:r>
        <w:rPr/>
      </w:r>
    </w:p>
    <w:tbl>
      <w:tblPr>
        <w:tblW w:w="7887" w:type="dxa"/>
        <w:jc w:val="left"/>
        <w:tblInd w:w="0" w:type="dxa"/>
        <w:tblLayout w:type="fixed"/>
        <w:tblCellMar>
          <w:top w:w="28" w:type="dxa"/>
          <w:left w:w="28" w:type="dxa"/>
          <w:bottom w:w="28" w:type="dxa"/>
          <w:right w:w="28" w:type="dxa"/>
        </w:tblCellMar>
      </w:tblPr>
      <w:tblGrid>
        <w:gridCol w:w="1271"/>
        <w:gridCol w:w="1118"/>
        <w:gridCol w:w="1136"/>
        <w:gridCol w:w="241"/>
        <w:gridCol w:w="241"/>
        <w:gridCol w:w="206"/>
        <w:gridCol w:w="204"/>
        <w:gridCol w:w="204"/>
        <w:gridCol w:w="206"/>
        <w:gridCol w:w="336"/>
        <w:gridCol w:w="340"/>
        <w:gridCol w:w="271"/>
        <w:gridCol w:w="241"/>
        <w:gridCol w:w="241"/>
        <w:gridCol w:w="206"/>
        <w:gridCol w:w="241"/>
        <w:gridCol w:w="241"/>
        <w:gridCol w:w="206"/>
        <w:gridCol w:w="209"/>
        <w:gridCol w:w="212"/>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Metric</w:t>
            </w:r>
          </w:p>
        </w:tc>
        <w:tc>
          <w:tcPr>
            <w:tcW w:w="688"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Q2-26</w:t>
            </w:r>
          </w:p>
        </w:tc>
        <w:tc>
          <w:tcPr>
            <w:tcW w:w="614"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Q2-25</w:t>
            </w:r>
          </w:p>
        </w:tc>
        <w:tc>
          <w:tcPr>
            <w:tcW w:w="947"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w:t>
            </w:r>
          </w:p>
        </w:tc>
        <w:tc>
          <w:tcPr>
            <w:tcW w:w="688"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Q2-26</w:t>
            </w:r>
          </w:p>
        </w:tc>
        <w:tc>
          <w:tcPr>
            <w:tcW w:w="688"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Q1-26</w:t>
            </w:r>
          </w:p>
        </w:tc>
        <w:tc>
          <w:tcPr>
            <w:tcW w:w="737"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Production (tonnes)</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9,280</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8,510</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+9 </w:t>
            </w:r>
          </w:p>
        </w:tc>
        <w:tc>
          <w:tcPr>
            <w:tcW w:w="271" w:type="dxa"/>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9,280</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9,660</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Avg Sales Price ($/t)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19,563</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7,375</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+165</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19,563</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16,818</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+16</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Revenue ($M)</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63.7</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+173</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174.1</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168.3</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+3</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Cash Operating Costs ($M)</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52.7</w:t>
            </w:r>
          </w:p>
        </w:tc>
        <w:tc>
          <w:tcPr>
            <w:tcW w:w="6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52.5</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5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C1 Cash Operating Costs per tonne ($/t)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w:t>
            </w:r>
          </w:p>
        </w:tc>
        <w:tc>
          <w:tcPr>
            <w:tcW w:w="61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6,098</w:t>
            </w:r>
          </w:p>
        </w:tc>
        <w:tc>
          <w:tcPr>
            <w:tcW w:w="67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71"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5,897</w:t>
            </w:r>
          </w:p>
        </w:tc>
        <w:tc>
          <w:tcPr>
            <w:tcW w:w="68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5,391</w:t>
            </w:r>
          </w:p>
        </w:tc>
        <w:tc>
          <w:tcPr>
            <w:tcW w:w="42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+9</w:t>
            </w:r>
          </w:p>
        </w:tc>
        <w:tc>
          <w:tcPr>
            <w:tcW w:w="316" w:type="dxa"/>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 ($M)</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83.7</w:t>
            </w:r>
          </w:p>
        </w:tc>
        <w:tc>
          <w:tcPr>
            <w:tcW w:w="6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27.0</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49.3</w:t>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35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EBITDA ($M)</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6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174.2</w:t>
            </w:r>
          </w:p>
        </w:tc>
        <w:tc>
          <w:tcPr>
            <w:tcW w:w="67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71"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108.0</w:t>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97.0</w:t>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+11</w:t>
            </w:r>
          </w:p>
        </w:tc>
        <w:tc>
          <w:tcPr>
            <w:tcW w:w="316" w:type="dxa"/>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r>
      <w:tr>
        <w:trPr/>
        <w:tc>
          <w:tcPr>
            <w:tcW w:w="35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Adjusted EBITDA ($M)</w:t>
            </w:r>
          </w:p>
        </w:tc>
        <w:tc>
          <w:tcPr>
            <w:tcW w:w="6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6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67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+1,183</w:t>
            </w:r>
          </w:p>
        </w:tc>
        <w:tc>
          <w:tcPr>
            <w:tcW w:w="27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c>
          <w:tcPr>
            <w:tcW w:w="6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110.3</w:t>
            </w:r>
          </w:p>
        </w:tc>
        <w:tc>
          <w:tcPr>
            <w:tcW w:w="6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105.8</w:t>
            </w:r>
          </w:p>
        </w:tc>
        <w:tc>
          <w:tcPr>
            <w:tcW w:w="42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339966"/>
                <w:sz w:val="18"/>
              </w:rPr>
            </w:pPr>
            <w:r>
              <w:rPr>
                <w:rFonts w:ascii="Arial;sans-serif" w:hAnsi="Arial;sans-serif"/>
                <w:b w:val="false"/>
                <w:color w:val="339966"/>
                <w:sz w:val="18"/>
              </w:rPr>
              <w:t>+4</w:t>
            </w:r>
          </w:p>
        </w:tc>
        <w:tc>
          <w:tcPr>
            <w:tcW w:w="316"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339966"/>
                <w:sz w:val="18"/>
              </w:rPr>
            </w:pPr>
            <w:r>
              <w:rPr>
                <w:rFonts w:ascii="Arial;sans-serif" w:hAnsi="Arial;sans-serif"/>
                <w:b w:val="false"/>
                <w:color w:val="339966"/>
                <w:sz w:val="18"/>
              </w:rPr>
              <w:t>%</w:t>
            </w:r>
          </w:p>
        </w:tc>
      </w:tr>
    </w:tbl>
    <w:p>
      <w:pPr>
        <w:pStyle w:val="TextBody"/>
        <w:bidi w:val="0"/>
        <w:spacing w:lineRule="auto" w:line="288" w:before="0" w:after="200"/>
        <w:jc w:val="both"/>
        <w:rPr>
          <w:rFonts w:ascii="Arial;sans-serif" w:hAnsi="Arial;sans-serif"/>
          <w:b w:val="false"/>
          <w:i/>
          <w:color w:val="000000"/>
          <w:sz w:val="16"/>
        </w:rPr>
      </w:pPr>
      <w:r>
        <w:rPr>
          <w:rFonts w:ascii="Arial;sans-serif" w:hAnsi="Arial;sans-serif"/>
          <w:b w:val="false"/>
          <w:i/>
          <w:color w:val="000000"/>
          <w:sz w:val="16"/>
        </w:rPr>
        <w:t>Note: C1 Cash Operating Costs, EBITDA and Adjusted EBITDA are non-IFRS measures. Please refer to section Non-IFRS and Other Financial Measures.</w:t>
      </w:r>
    </w:p>
    <w:p>
      <w:pPr>
        <w:pStyle w:val="TextBody"/>
        <w:bidi w:val="0"/>
        <w:spacing w:lineRule="auto" w:line="288" w:before="0" w:after="0"/>
        <w:jc w:val="both"/>
        <w:rPr/>
      </w:pPr>
      <w:r>
        <w:rPr>
          <w:rFonts w:ascii="Arial;sans-serif" w:hAnsi="Arial;sans-serif"/>
          <w:b/>
          <w:i/>
          <w:color w:val="000000"/>
          <w:sz w:val="20"/>
        </w:rPr>
        <w:t>Exar Operational Performance (Non-IFRS Measures)</w:t>
      </w:r>
      <w:r>
        <w:rPr>
          <w:color w:val="000000"/>
        </w:rPr>
        <w:t xml:space="preserve"> </w:t>
      </w:r>
      <w:r>
        <w:rPr>
          <w:rFonts w:ascii="Arial;sans-serif" w:hAnsi="Arial;sans-serif"/>
          <w:b/>
          <w:i/>
          <w:color w:val="000000"/>
          <w:sz w:val="13"/>
        </w:rPr>
        <w:t>9</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Q2 2026 Adjusted EBITDA increased to $110.3 million, compared to $8.6 million in Q2 2025 and $105.8 million in Q1 2026, primarily reflecting higher realized prices.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Q2 2026 revenue increased 173% year-over-year to $174.1 million, driven by stronger realized lithium prices.</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C1 cash operating costs were $5,897 per tonne in Q2 2026, 3% lower than Q2 2025 reflecting operating efficiency on higher production volumes and 9% higher than Q1 2026 as a result of lower production volumes, higher energy costs and the impact of a stronger Argentine peso.</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Cash operating costs of $52.5 million in Q2 2026 were 3% lower than Q1 2026, and flat year-over-year despite a 9% increase in production volumes.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Exar’s Third Party Debt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Exar’s outstanding third-party debt, including accrued interest, amounted to $234.9 million at the official foreign exchange rate (2025 – $292.7 million), while its cash balance and short-term investments were $93.0 million (2025 – $86.7 million), resulting in third-party net debt of $141.9 million (2025 – $205.9 million). The Company’s proportionate share of this net debt was $69.5 million. As of June 30, 2026, Cauchari-Olaroz has completed $98.4 million of cash distributions from operations ($48.2 million attributable to the Company), funded with cash on hand and in part, additional third party borrowings secured by short-term investments.</w:t>
      </w:r>
    </w:p>
    <w:p>
      <w:pPr>
        <w:pStyle w:val="TextBody"/>
        <w:bidi w:val="0"/>
        <w:spacing w:lineRule="auto" w:line="288"/>
        <w:jc w:val="left"/>
        <w:rPr/>
      </w:pPr>
      <w:r>
        <w:rPr>
          <w:rFonts w:ascii="Arial;sans-serif" w:hAnsi="Arial;sans-serif"/>
          <w:b w:val="false"/>
          <w:color w:val="000000"/>
          <w:sz w:val="10"/>
        </w:rPr>
        <w:t>9</w:t>
      </w:r>
      <w:r>
        <w:rPr>
          <w:color w:val="000000"/>
        </w:rPr>
        <w:t xml:space="preserve"> </w:t>
      </w:r>
      <w:r>
        <w:rPr>
          <w:rFonts w:ascii="Arial;sans-serif" w:hAnsi="Arial;sans-serif"/>
          <w:b w:val="false"/>
          <w:color w:val="000000"/>
          <w:sz w:val="16"/>
        </w:rPr>
        <w:t>Refer to section titled “Non-IFRS and Other Financial Measures” below.</w:t>
      </w:r>
    </w:p>
    <w:p>
      <w:pPr>
        <w:pStyle w:val="TextBody"/>
        <w:bidi w:val="0"/>
        <w:spacing w:before="0" w:after="0"/>
        <w:jc w:val="right"/>
        <w:rPr/>
      </w:pPr>
      <w:r>
        <w:rPr/>
        <w:drawing>
          <wp:inline distT="0" distB="0" distL="0" distR="0">
            <wp:extent cx="2095500" cy="238125"/>
            <wp:effectExtent l="0" t="0" r="0" b="0"/>
            <wp:docPr id="11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0" descr=""/>
                    <pic:cNvPicPr>
                      <a:picLocks noChangeAspect="1" noChangeArrowheads="1"/>
                    </pic:cNvPicPr>
                  </pic:nvPicPr>
                  <pic:blipFill>
                    <a:blip r:embed="rId69"/>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16840"/>
                <wp:effectExtent l="0" t="0" r="0" b="0"/>
                <wp:wrapNone/>
                <wp:docPr id="111"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9</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Exar’s debt includes $50 million of bonds issued in Argentina in November 2024, bearing interest at 8% per annum, payable semi-annually. The bonds mature in two tranches in May and November 2027, and the proceeds were used to repay Exar’s short-term debt.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$169.7 million of debt was contractually due within the next twelve months, with the remaining $65.2 million classified as non-current. In 2025, the Company and Ganfeng negotiated a maturity extension for $100.0 million of the current debt through to the end of 2027, which has been approved by the regulatory authority. The loan is secured by standby letters of credit provided by Ganfeng. As these standby letters of credit are issued for standard one-year terms, the loan was originally structured with a corresponding one-year maturity. Upon renewal of the standby letters of credit, the loan is expected to roll over for the remainder of the agreed three-year term.</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During the three months ended June 30, 2026, Exar repaid a $100.0 million debt facility and secured a new $50.0 million two-year facility under SOFR+1.80% interest rate. Subsequent to the second quarter of 2026, Exar secured a new three-year syndicated facility of $170.0 million at an interest rate of SOFR plus 1.05%.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 result of these refinancing activities, together with the bonds, approximately $165.2 million of third-party debt was refinanced into long-term debt, with the remaining $69.7 million due within the next 12 months. The Company continues to work with Ganfeng to pursue additional long-term financing options as lending conditions in Argentina improve, supporting Exar’s longer-term growth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153A57"/>
          <w:sz w:val="20"/>
        </w:rPr>
      </w:pPr>
      <w:r>
        <w:rPr>
          <w:rFonts w:ascii="Arial;sans-serif" w:hAnsi="Arial;sans-serif"/>
          <w:b/>
          <w:color w:val="153A57"/>
          <w:sz w:val="20"/>
        </w:rPr>
        <w:t>SELECTED FINANCIAL INFORMATION OF THE COMPANY</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Liquidity and Going Concern</w:t>
      </w:r>
    </w:p>
    <w:p>
      <w:pPr>
        <w:pStyle w:val="TextBody"/>
        <w:bidi w:val="0"/>
        <w:spacing w:lineRule="auto" w:line="288" w:before="0" w:after="200"/>
        <w:jc w:val="both"/>
        <w:rPr/>
      </w:pPr>
      <w:r>
        <w:rPr>
          <w:rFonts w:ascii="Arial;sans-serif" w:hAnsi="Arial;sans-serif"/>
          <w:b w:val="false"/>
          <w:color w:val="000000"/>
          <w:sz w:val="20"/>
        </w:rPr>
        <w:t>As at June 30, 2026, the Company had cash and cash equivalents of $99.7 million (2025 – $61.1 million), a six-year $130 million debt facility with Ganfeng bearing interest at SOFR plus 2.5% (the “</w:t>
      </w:r>
      <w:r>
        <w:rPr>
          <w:rFonts w:ascii="Arial;sans-serif" w:hAnsi="Arial;sans-serif"/>
          <w:b/>
          <w:color w:val="000000"/>
          <w:sz w:val="20"/>
        </w:rPr>
        <w:t>Debt Facility</w:t>
      </w:r>
      <w:r>
        <w:rPr>
          <w:color w:val="000000"/>
        </w:rPr>
        <w:t>”</w:t>
      </w:r>
      <w:r>
        <w:rPr>
          <w:rFonts w:ascii="Arial;sans-serif" w:hAnsi="Arial;sans-serif"/>
          <w:b w:val="false"/>
          <w:color w:val="000000"/>
          <w:sz w:val="20"/>
        </w:rPr>
        <w:t xml:space="preserve">). Subsequent to June 30, 2026, the Company received $27.4 million from Exar Capital as a repayment of a portion of an outstanding loan and related interest. The Company's equity-settleable convertible notes, with a face value of $258.8 million, are due on January 15, 2027.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Q2 2026, realized lithium carbonate prices increased to an average of approximately $19,563. For year 2026, Cauchari-Olaroz is expected to produce between 35,000 and 40,000 tonnes of lithium carbonate on a 100% basis and generate significant operational cash flow. In accordance with the shareholder agreement that regulates governance of Cauchari-Olaroz, any excess cash flow (as defined in the shareholder agreement), from Cauchari-Olaroz is distributed among the Company and Ganfeng until a joint decision on any expansion plan is finalized.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expects distributions from Cauchari-Olaroz to be sufficient to service the current portion of its long-term debt. However, its ability to maintain normal operations and meet these obligations ultimately depends on generating and repatriating sufficient cash flows from lithium carbonate production at Cauchari-Olaroz, or alternatively, securing additional financing.</w:t>
      </w:r>
    </w:p>
    <w:p>
      <w:pPr>
        <w:pStyle w:val="TextBody"/>
        <w:bidi w:val="0"/>
        <w:spacing w:lineRule="auto" w:line="288" w:before="0" w:after="200"/>
        <w:jc w:val="both"/>
        <w:rPr/>
      </w:pPr>
      <w:r>
        <w:rPr>
          <w:rFonts w:ascii="Arial;sans-serif" w:hAnsi="Arial;sans-serif"/>
          <w:b w:val="false"/>
          <w:color w:val="000000"/>
          <w:sz w:val="20"/>
        </w:rPr>
        <w:t>The significance of the assumptions underlying the forecasted cash flows from Cauchari-Olaroz, the amount and timing of distribution of the cash flow to the Company and the requirement to satisfy the current portion of long-term debt, gives rise to material uncertainty which may cast significant doubt (or substantial doubt as contemplated by Public Company Accounting Oversight Board (“</w:t>
      </w:r>
      <w:r>
        <w:rPr>
          <w:rFonts w:ascii="Arial;sans-serif" w:hAnsi="Arial;sans-serif"/>
          <w:b/>
          <w:color w:val="000000"/>
          <w:sz w:val="20"/>
        </w:rPr>
        <w:t>PCAOB</w:t>
      </w:r>
      <w:r>
        <w:rPr>
          <w:color w:val="000000"/>
        </w:rPr>
        <w:t>”</w:t>
      </w:r>
      <w:r>
        <w:rPr>
          <w:rFonts w:ascii="Arial;sans-serif" w:hAnsi="Arial;sans-serif"/>
          <w:b w:val="false"/>
          <w:color w:val="000000"/>
          <w:sz w:val="20"/>
        </w:rPr>
        <w:t>) standards) on the Company’s ability to continue as a going concern. Although the Company has been successful in obtaining distribution of cash flow from Cauchari-Olaroz and obtaining financing in the past, there can be no assurance that it will be able to distribute sufficient additional cash flow and obtain adequate financing in the future or that such financing will be available on terms acceptable to the Company.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If the Company is unable to continue as a going concern, material adjustments to the recoverability and amounts of assets and liabilities, the reported expenses, and the balance sheet classifications of assets and liabilities may be required. The Company’s consolidated financial statements do not include any adjustments that may result from the outcome of this uncertainty.</w:t>
      </w:r>
    </w:p>
    <w:p>
      <w:pPr>
        <w:pStyle w:val="TextBody"/>
        <w:bidi w:val="0"/>
        <w:spacing w:before="0" w:after="200"/>
        <w:jc w:val="both"/>
        <w:rPr/>
      </w:pPr>
      <w:r>
        <w:rPr/>
      </w:r>
    </w:p>
    <w:p>
      <w:pPr>
        <w:pStyle w:val="TextBody"/>
        <w:bidi w:val="0"/>
        <w:spacing w:before="0" w:after="0"/>
        <w:jc w:val="right"/>
        <w:rPr/>
      </w:pPr>
      <w:r>
        <w:rPr/>
        <w:drawing>
          <wp:inline distT="0" distB="0" distL="0" distR="0">
            <wp:extent cx="2095500" cy="238125"/>
            <wp:effectExtent l="0" t="0" r="0" b="0"/>
            <wp:docPr id="11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1" descr=""/>
                    <pic:cNvPicPr>
                      <a:picLocks noChangeAspect="1" noChangeArrowheads="1"/>
                    </pic:cNvPicPr>
                  </pic:nvPicPr>
                  <pic:blipFill>
                    <a:blip r:embed="rId70"/>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16840"/>
                <wp:effectExtent l="0" t="0" r="0" b="0"/>
                <wp:wrapNone/>
                <wp:docPr id="113"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10</w:t>
                      </w:r>
                    </w:p>
                  </w:txbxContent>
                </v:textbox>
                <w10:wrap type="none"/>
              </v:rect>
            </w:pict>
          </mc:Fallback>
        </mc:AlternateContent>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Quarterly Information</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Selected consolidated financial information is as follows:</w:t>
      </w:r>
    </w:p>
    <w:p>
      <w:pPr>
        <w:pStyle w:val="TextBody"/>
        <w:bidi w:val="0"/>
        <w:spacing w:before="0" w:after="0"/>
        <w:jc w:val="left"/>
        <w:rPr/>
      </w:pPr>
      <w:r>
        <w:rPr/>
      </w:r>
    </w:p>
    <w:tbl>
      <w:tblPr>
        <w:tblW w:w="9683" w:type="dxa"/>
        <w:jc w:val="left"/>
        <w:tblInd w:w="0" w:type="dxa"/>
        <w:tblLayout w:type="fixed"/>
        <w:tblCellMar>
          <w:top w:w="28" w:type="dxa"/>
          <w:left w:w="28" w:type="dxa"/>
          <w:bottom w:w="28" w:type="dxa"/>
          <w:right w:w="28" w:type="dxa"/>
        </w:tblCellMar>
      </w:tblPr>
      <w:tblGrid>
        <w:gridCol w:w="933"/>
        <w:gridCol w:w="821"/>
        <w:gridCol w:w="826"/>
        <w:gridCol w:w="383"/>
        <w:gridCol w:w="383"/>
        <w:gridCol w:w="116"/>
        <w:gridCol w:w="383"/>
        <w:gridCol w:w="383"/>
        <w:gridCol w:w="116"/>
        <w:gridCol w:w="383"/>
        <w:gridCol w:w="383"/>
        <w:gridCol w:w="116"/>
        <w:gridCol w:w="383"/>
        <w:gridCol w:w="383"/>
        <w:gridCol w:w="116"/>
        <w:gridCol w:w="383"/>
        <w:gridCol w:w="383"/>
        <w:gridCol w:w="116"/>
        <w:gridCol w:w="383"/>
        <w:gridCol w:w="383"/>
        <w:gridCol w:w="116"/>
        <w:gridCol w:w="383"/>
        <w:gridCol w:w="383"/>
        <w:gridCol w:w="116"/>
        <w:gridCol w:w="383"/>
        <w:gridCol w:w="383"/>
        <w:gridCol w:w="163"/>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20"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6"/>
            <w:tcBorders>
              <w:top w:val="single" w:sz="20"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2026</w:t>
            </w:r>
          </w:p>
        </w:tc>
        <w:tc>
          <w:tcPr>
            <w:tcW w:w="3528" w:type="dxa"/>
            <w:gridSpan w:val="12"/>
            <w:tcBorders>
              <w:top w:val="single" w:sz="20"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2025</w:t>
            </w:r>
          </w:p>
        </w:tc>
        <w:tc>
          <w:tcPr>
            <w:tcW w:w="1811" w:type="dxa"/>
            <w:gridSpan w:val="6"/>
            <w:tcBorders>
              <w:top w:val="single" w:sz="20"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2024</w:t>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US$ millions)</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Q2</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Q1</w:t>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Q4</w:t>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Q3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8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76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1,152.5 </w:t>
            </w:r>
          </w:p>
        </w:tc>
        <w:tc>
          <w:tcPr>
            <w:tcW w:w="116"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1,159.4 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1,078.7 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1,141.1 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1,130.8 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1,131.2 </w:t>
            </w:r>
          </w:p>
        </w:tc>
        <w:tc>
          <w:tcPr>
            <w:tcW w:w="11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1,121.8 </w:t>
            </w:r>
          </w:p>
        </w:tc>
        <w:tc>
          <w:tcPr>
            <w:tcW w:w="16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76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76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147.9 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167.6 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84.7 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132.1 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117.4 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111.8 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76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(312.9)</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(326.0)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(251.7)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(252.8)</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(242.5)</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(240.3)</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(228.1)</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Income/(expenses)</w:t>
            </w:r>
          </w:p>
        </w:tc>
        <w:tc>
          <w:tcPr>
            <w:tcW w:w="76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16"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(60.4)</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(8.8)</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(Loss)/income</w:t>
            </w:r>
          </w:p>
        </w:tc>
        <w:tc>
          <w:tcPr>
            <w:tcW w:w="766" w:type="dxa"/>
            <w:gridSpan w:val="2"/>
            <w:tcBorders>
              <w:bottom w:val="single" w:sz="8" w:space="0" w:color="000000"/>
            </w:tcBorders>
            <w:shd w:fill="E5E5E5" w:val="clear"/>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6" w:type="dxa"/>
            <w:tcBorders>
              <w:bottom w:val="single" w:sz="8" w:space="0" w:color="000000"/>
            </w:tcBorders>
            <w:shd w:fill="E5E5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(64.5)</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3"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color w:val="000000"/>
          <w:sz w:val="16"/>
        </w:rPr>
      </w:pPr>
      <w:r>
        <w:rPr>
          <w:rFonts w:ascii="Arial;sans-serif" w:hAnsi="Arial;sans-serif"/>
          <w:b w:val="false"/>
          <w:color w:val="000000"/>
          <w:sz w:val="16"/>
        </w:rPr>
        <w:t>Notes: Quarterly amounts added together may not equal to the total reported for the period due to rounding.</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Discussion of Quarterly Trends</w: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Quarter-over-quarter changes in total assets are driven primarily by the timing of lithium carbonate sales and related receivables, accrued interest on loans to Exar and Exar Capital, and the Company's share of income or loss from the Cauchari-Olaroz project, which adjusts the carrying value of the investment. Changes in total liabilities are driven primarily by the balance of payables for lithium carbonate purchases and accrued interest on the Convertible Notes.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The Company's share of income (loss) from Cauchari-Olaroz was: $12.3 million in Q2 2026, $22.1 million in Q1 2026, $13.7 million in Q4 2025, and a loss of $52.5 million in Q3 2025. Significant items affecting quarterly comparability were: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Q2 2026 — </w:t>
      </w:r>
      <w:r>
        <w:rPr>
          <w:rFonts w:ascii="Arial;sans-serif" w:hAnsi="Arial;sans-serif"/>
          <w:b w:val="false"/>
          <w:color w:val="000000"/>
          <w:sz w:val="20"/>
        </w:rPr>
        <w:t>Receivables from lithium carbonate sales decreased by $19.5 million.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Q1 2026 —</w:t>
      </w:r>
      <w:r>
        <w:rPr>
          <w:color w:val="000000"/>
        </w:rPr>
        <w:t xml:space="preserve"> </w:t>
      </w:r>
      <w:r>
        <w:rPr>
          <w:rFonts w:ascii="Arial;sans-serif" w:hAnsi="Arial;sans-serif"/>
          <w:b w:val="false"/>
          <w:color w:val="000000"/>
          <w:sz w:val="20"/>
        </w:rPr>
        <w:t>Exar repaid its loan receivable, increasing cash and reducing non-current loan receivables. PGCo settled its $12.9 million shareholder liability to Ganfeng.</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Q4 2025 —</w:t>
      </w:r>
      <w:r>
        <w:rPr>
          <w:color w:val="000000"/>
        </w:rPr>
        <w:t xml:space="preserve"> </w:t>
      </w:r>
      <w:r>
        <w:rPr>
          <w:rFonts w:ascii="Arial;sans-serif" w:hAnsi="Arial;sans-serif"/>
          <w:b w:val="false"/>
          <w:color w:val="000000"/>
          <w:sz w:val="20"/>
        </w:rPr>
        <w:t>PGCo recognized a $12.9 million shareholder liability to Ganfeng resulting from the PGCo share premium reduction transaction.</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Q3 2025 —</w:t>
      </w:r>
      <w:r>
        <w:rPr>
          <w:color w:val="000000"/>
        </w:rPr>
        <w:t xml:space="preserve"> </w:t>
      </w:r>
      <w:r>
        <w:rPr>
          <w:rFonts w:ascii="Arial;sans-serif" w:hAnsi="Arial;sans-serif"/>
          <w:b w:val="false"/>
          <w:color w:val="000000"/>
          <w:sz w:val="20"/>
        </w:rPr>
        <w:t>The Company's $52.5 million share of loss from Cauchari-Olaroz included previously unrecognized losses from 2024, triggered when loans from Exar Capital B.V. were assigned and capitalized into Exar's equity by the Company and Ganfeng as part of a loan restructuring. Total liabilities decreased on derecognition of the deferred tax liability.</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Q3 2024 —</w:t>
      </w:r>
      <w:r>
        <w:rPr>
          <w:color w:val="000000"/>
        </w:rPr>
        <w:t xml:space="preserve"> </w:t>
      </w:r>
      <w:r>
        <w:rPr>
          <w:rFonts w:ascii="Arial;sans-serif" w:hAnsi="Arial;sans-serif"/>
          <w:b w:val="false"/>
          <w:color w:val="000000"/>
          <w:sz w:val="20"/>
        </w:rPr>
        <w:t>PGCo, previously wholly owned, issued 14.9% of its shares to Ganfeng for $70.0 million and loaned $65.0 million of the proceeds to Exar.</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of June 30, 2026, total assets include the Company’s $127.7 million equity interest in the Cauchari-Olaroz project and a $334.9 million loan through Exar Capital. During the six months ended June 30, 2026, Exar fully repaid the loan outstanding to PGCo, including accrued interest, in the amount of $72.0 million.</w:t>
      </w:r>
    </w:p>
    <w:p>
      <w:pPr>
        <w:pStyle w:val="TextBody"/>
        <w:bidi w:val="0"/>
        <w:jc w:val="both"/>
        <w:rPr/>
      </w:pPr>
      <w:r>
        <w:rPr/>
      </w:r>
    </w:p>
    <w:p>
      <w:pPr>
        <w:pStyle w:val="TextBody"/>
        <w:bidi w:val="0"/>
        <w:spacing w:before="0" w:after="0"/>
        <w:jc w:val="right"/>
        <w:rPr/>
      </w:pPr>
      <w:r>
        <w:rPr/>
        <w:drawing>
          <wp:inline distT="0" distB="0" distL="0" distR="0">
            <wp:extent cx="2095500" cy="238125"/>
            <wp:effectExtent l="0" t="0" r="0" b="0"/>
            <wp:docPr id="11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2" descr=""/>
                    <pic:cNvPicPr>
                      <a:picLocks noChangeAspect="1" noChangeArrowheads="1"/>
                    </pic:cNvPicPr>
                  </pic:nvPicPr>
                  <pic:blipFill>
                    <a:blip r:embed="rId71"/>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16840"/>
                <wp:effectExtent l="0" t="0" r="0" b="0"/>
                <wp:wrapNone/>
                <wp:docPr id="11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11</w:t>
                      </w:r>
                    </w:p>
                  </w:txbxContent>
                </v:textbox>
                <w10:wrap type="none"/>
              </v:rect>
            </w:pict>
          </mc:Fallback>
        </mc:AlternateContent>
      </w:r>
    </w:p>
    <w:p>
      <w:pPr>
        <w:pStyle w:val="TextBody"/>
        <w:bidi w:val="0"/>
        <w:spacing w:lineRule="auto" w:line="288" w:before="0" w:after="200"/>
        <w:jc w:val="both"/>
        <w:rPr>
          <w:rFonts w:ascii="Arial;sans-serif" w:hAnsi="Arial;sans-serif"/>
          <w:b/>
          <w:i/>
          <w:color w:val="000000"/>
          <w:sz w:val="20"/>
          <w:u w:val="single"/>
        </w:rPr>
      </w:pPr>
      <w:r>
        <w:rPr>
          <w:rFonts w:ascii="Arial;sans-serif" w:hAnsi="Arial;sans-serif"/>
          <w:b/>
          <w:i/>
          <w:color w:val="000000"/>
          <w:sz w:val="20"/>
          <w:u w:val="single"/>
        </w:rPr>
        <w:t>Results of Operations</w:t>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Six months ended June 30, 2026 versus Six months ended June 30, 2025</w:t>
      </w:r>
    </w:p>
    <w:p>
      <w:pPr>
        <w:pStyle w:val="TextBody"/>
        <w:bidi w:val="0"/>
        <w:spacing w:before="0" w:after="0"/>
        <w:jc w:val="both"/>
        <w:rPr/>
      </w:pPr>
      <w:r>
        <w:rPr/>
      </w:r>
    </w:p>
    <w:tbl>
      <w:tblPr>
        <w:tblW w:w="8192" w:type="dxa"/>
        <w:jc w:val="left"/>
        <w:tblInd w:w="0" w:type="dxa"/>
        <w:tblLayout w:type="fixed"/>
        <w:tblCellMar>
          <w:top w:w="28" w:type="dxa"/>
          <w:left w:w="28" w:type="dxa"/>
          <w:bottom w:w="28" w:type="dxa"/>
          <w:right w:w="28" w:type="dxa"/>
        </w:tblCellMar>
      </w:tblPr>
      <w:tblGrid>
        <w:gridCol w:w="1765"/>
        <w:gridCol w:w="1551"/>
        <w:gridCol w:w="1558"/>
        <w:gridCol w:w="397"/>
        <w:gridCol w:w="397"/>
        <w:gridCol w:w="397"/>
        <w:gridCol w:w="397"/>
        <w:gridCol w:w="397"/>
        <w:gridCol w:w="411"/>
        <w:gridCol w:w="291"/>
        <w:gridCol w:w="294"/>
        <w:gridCol w:w="337"/>
      </w:tblGrid>
      <w:tr>
        <w:trPr/>
        <w:tc>
          <w:tcPr>
            <w:tcW w:w="1765"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Financial results</w:t>
            </w:r>
          </w:p>
        </w:tc>
        <w:tc>
          <w:tcPr>
            <w:tcW w:w="2396"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c>
          <w:tcPr>
            <w:tcW w:w="922"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US$ million)</w:t>
            </w:r>
          </w:p>
        </w:tc>
        <w:tc>
          <w:tcPr>
            <w:tcW w:w="1191"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2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2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4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EXPENSES</w:t>
            </w:r>
          </w:p>
        </w:tc>
        <w:tc>
          <w:tcPr>
            <w:tcW w:w="11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Exploration and evaluation expenditures</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based compensation</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of income/(loss) of Cauchari-Olaroz Project</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of loss of Sal de la Puna Project</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9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(21.7)</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ITEMS</w:t>
            </w:r>
          </w:p>
        </w:tc>
        <w:tc>
          <w:tcPr>
            <w:tcW w:w="11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(Loss)/gain on financial instruments measured at fair value</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and other costs</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(14.0)</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gain/(loss)</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0.3 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and other income</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9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INCOME/(LOSS) BEFORE TAXES</w:t>
            </w:r>
          </w:p>
        </w:tc>
        <w:tc>
          <w:tcPr>
            <w:tcW w:w="794"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8.4</w:t>
            </w:r>
            <w:r>
              <w:rPr>
                <w:color w:val="000000"/>
              </w:rPr>
              <w:t> </w:t>
            </w:r>
          </w:p>
        </w:tc>
        <w:tc>
          <w:tcPr>
            <w:tcW w:w="397"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(9.5)</w:t>
            </w:r>
          </w:p>
        </w:tc>
        <w:tc>
          <w:tcPr>
            <w:tcW w:w="41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17.9</w:t>
            </w:r>
            <w:r>
              <w:rPr>
                <w:color w:val="000000"/>
              </w:rPr>
              <w:t>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recovery/(expense)</w:t>
            </w:r>
          </w:p>
        </w:tc>
        <w:tc>
          <w:tcPr>
            <w:tcW w:w="794"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39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4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INCOME/(LOSS)</w:t>
            </w:r>
          </w:p>
        </w:tc>
        <w:tc>
          <w:tcPr>
            <w:tcW w:w="794"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8.8</w:t>
            </w:r>
            <w:r>
              <w:rPr>
                <w:color w:val="000000"/>
              </w:rPr>
              <w:t> </w:t>
            </w:r>
          </w:p>
        </w:tc>
        <w:tc>
          <w:tcPr>
            <w:tcW w:w="397"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(11.3)</w:t>
            </w:r>
          </w:p>
        </w:tc>
        <w:tc>
          <w:tcPr>
            <w:tcW w:w="41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20.1</w:t>
            </w:r>
            <w:r>
              <w:rPr>
                <w:color w:val="000000"/>
              </w:rPr>
              <w:t> </w:t>
            </w:r>
          </w:p>
        </w:tc>
        <w:tc>
          <w:tcPr>
            <w:tcW w:w="33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reported a net income of $8.8 million for the six months ended June 30, 2026, compared to a net loss of $11.3 million for the six months ended June 30, 2025. The change was primarily attributable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share of income from the Cauchari-Olaroz Project of $34.3 million in 2026, compared to a share of loss of $0.9 million in 2025, primarily reflecting improved operating results at Exar driven by higher realized lithium carbonate prices during the current period.</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These impacts were partially offset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lower finance and other income of $16.0 million in 2026, compared to $28.2 million in 2025, primarily reflecting lower interest income on loans to Exar Capital following the capitalization of certain loans into equity during 2025. Additionally, the loan to Minera Exar was settled in the prior quarter, reducing the interest income earned;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a loss on financial instruments measured at fair value of $1.8 million in 2026, compared to a gain of $0.5 million in 2025, arising from the fair value remeasurement of the Convertible Notes derivative liability, primarily driven by an increase in the Company’s share price and higher share price volatility during 2026.</w:t>
      </w:r>
    </w:p>
    <w:p>
      <w:pPr>
        <w:pStyle w:val="TextBody"/>
        <w:bidi w:val="0"/>
        <w:spacing w:before="0" w:after="0"/>
        <w:jc w:val="both"/>
        <w:rPr/>
      </w:pPr>
      <w:r>
        <w:rPr/>
      </w:r>
    </w:p>
    <w:p>
      <w:pPr>
        <w:pStyle w:val="TextBody"/>
        <w:bidi w:val="0"/>
        <w:spacing w:before="0" w:after="200"/>
        <w:jc w:val="both"/>
        <w:rPr/>
      </w:pPr>
      <w:r>
        <w:rPr/>
      </w:r>
    </w:p>
    <w:p>
      <w:pPr>
        <w:pStyle w:val="TextBody"/>
        <w:bidi w:val="0"/>
        <w:spacing w:before="0" w:after="0"/>
        <w:jc w:val="right"/>
        <w:rPr/>
      </w:pPr>
      <w:r>
        <w:rPr/>
        <w:drawing>
          <wp:inline distT="0" distB="0" distL="0" distR="0">
            <wp:extent cx="2095500" cy="238125"/>
            <wp:effectExtent l="0" t="0" r="0" b="0"/>
            <wp:docPr id="11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3" descr=""/>
                    <pic:cNvPicPr>
                      <a:picLocks noChangeAspect="1" noChangeArrowheads="1"/>
                    </pic:cNvPicPr>
                  </pic:nvPicPr>
                  <pic:blipFill>
                    <a:blip r:embed="rId72"/>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16840"/>
                <wp:effectExtent l="0" t="0" r="0" b="0"/>
                <wp:wrapNone/>
                <wp:docPr id="117"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12</w:t>
                      </w:r>
                    </w:p>
                  </w:txbxContent>
                </v:textbox>
                <w10:wrap type="none"/>
              </v:rect>
            </w:pict>
          </mc:Fallback>
        </mc:AlternateConten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Purchases and sales of lithium carbonate</w:t>
      </w:r>
    </w:p>
    <w:p>
      <w:pPr>
        <w:pStyle w:val="TextBody"/>
        <w:bidi w:val="0"/>
        <w:spacing w:lineRule="auto" w:line="288" w:before="0" w:after="200"/>
        <w:jc w:val="both"/>
        <w:rPr/>
      </w:pPr>
      <w:r>
        <w:rPr>
          <w:rFonts w:ascii="Arial;sans-serif" w:hAnsi="Arial;sans-serif"/>
          <w:b w:val="false"/>
          <w:color w:val="000000"/>
          <w:sz w:val="20"/>
        </w:rPr>
        <w:t>During the six months ended June 30, 2026, the Company was entitled to purchase its 49% share of Exar’s lithium carbonate production shipped during the period and, pursuant to its offtake agreements, sell that volume to Ganfeng and BCP Innovation PTE LTD (“</w:t>
      </w:r>
      <w:r>
        <w:rPr>
          <w:rFonts w:ascii="Arial;sans-serif" w:hAnsi="Arial;sans-serif"/>
          <w:b/>
          <w:color w:val="000000"/>
          <w:sz w:val="20"/>
        </w:rPr>
        <w:t>Bangchak</w:t>
      </w:r>
      <w:r>
        <w:rPr>
          <w:color w:val="000000"/>
        </w:rPr>
        <w:t>”</w:t>
      </w:r>
      <w:r>
        <w:rPr>
          <w:rFonts w:ascii="Arial;sans-serif" w:hAnsi="Arial;sans-serif"/>
          <w:b w:val="false"/>
          <w:color w:val="000000"/>
          <w:sz w:val="20"/>
        </w:rPr>
        <w:t>), a wholly-owned subsidiary of Bangchak Corporation Public Company Ltd. Based on its principal versus agent assessment, the Company concluded that it acted as an agent in these transactions, as control of the lithium carbonate did not transfer to the Company prior to transfer to the end customers and the Company was not exposed to inventory or price risk. Accordingly, the Company did not recognize revenue or cost of sales in respect of these transactions.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a payable of $54.2 million to Exar for lithium carbonate purchases and receivables totaling $46.1 million from Ganfeng for lithium carbonate sales, as disclosed on the statement of financial position. The net payable balance reflects timing differences in payments at period end.</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Expenses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Exploration and evaluation expenditures: $1.9 million (2025 – $4.0 million), primarily related to Pastos Grandes, reflecting lower activity and cost reduction efforts.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Share based compensation: $9.1 million (2025 – $8.6 million), a non-cash expense related to restricted share units (“</w:t>
      </w:r>
      <w:r>
        <w:rPr>
          <w:rFonts w:ascii="Arial;sans-serif" w:hAnsi="Arial;sans-serif"/>
          <w:b/>
          <w:color w:val="000000"/>
          <w:sz w:val="20"/>
        </w:rPr>
        <w:t>RSUs</w:t>
      </w:r>
      <w:r>
        <w:rPr>
          <w:color w:val="000000"/>
        </w:rPr>
        <w:t>”</w:t>
      </w:r>
      <w:r>
        <w:rPr>
          <w:rFonts w:ascii="Arial;sans-serif" w:hAnsi="Arial;sans-serif"/>
          <w:b w:val="false"/>
          <w:color w:val="000000"/>
          <w:sz w:val="20"/>
        </w:rPr>
        <w:t>), performance share units (“</w:t>
      </w:r>
      <w:r>
        <w:rPr>
          <w:rFonts w:ascii="Arial;sans-serif" w:hAnsi="Arial;sans-serif"/>
          <w:b/>
          <w:color w:val="000000"/>
          <w:sz w:val="20"/>
        </w:rPr>
        <w:t>PSUs</w:t>
      </w:r>
      <w:r>
        <w:rPr>
          <w:color w:val="000000"/>
        </w:rPr>
        <w:t>”</w:t>
      </w:r>
      <w:r>
        <w:rPr>
          <w:rFonts w:ascii="Arial;sans-serif" w:hAnsi="Arial;sans-serif"/>
          <w:b w:val="false"/>
          <w:color w:val="000000"/>
          <w:sz w:val="20"/>
        </w:rPr>
        <w:t>), deferred share units (“</w:t>
      </w:r>
      <w:r>
        <w:rPr>
          <w:rFonts w:ascii="Arial;sans-serif" w:hAnsi="Arial;sans-serif"/>
          <w:b/>
          <w:color w:val="000000"/>
          <w:sz w:val="20"/>
        </w:rPr>
        <w:t>DSUs</w:t>
      </w:r>
      <w:r>
        <w:rPr>
          <w:color w:val="000000"/>
        </w:rPr>
        <w:t>”</w:t>
      </w:r>
      <w:r>
        <w:rPr>
          <w:rFonts w:ascii="Arial;sans-serif" w:hAnsi="Arial;sans-serif"/>
          <w:b w:val="false"/>
          <w:color w:val="000000"/>
          <w:sz w:val="20"/>
        </w:rPr>
        <w:t>), and stock options. The increase was primarily due to the number and fair value of awards outstanding during the period.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General and administrative expenses: $9.8 million (2025 – $8.0 million), primarily reflecting higher salaries and benefits due to increased headcount and compensation changes, and higher professional expenses, partially offset by lower office and administrative expenses and investor relations costs. General and administrative expenses included: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Salaries and benefits: $5.5 million (2025 – $4.0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Professional fees: $2.5 million (2025 – $1.7 million).</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Office and administrative expenses: $1.1 million (2025 – $1.5 million).</w:t>
      </w:r>
    </w:p>
    <w:p>
      <w:pPr>
        <w:pStyle w:val="TextBody"/>
        <w:bidi w:val="0"/>
        <w:spacing w:lineRule="auto" w:line="288" w:before="0" w:after="120"/>
        <w:jc w:val="both"/>
        <w:rPr>
          <w:rFonts w:ascii="Arial;sans-serif" w:hAnsi="Arial;sans-serif"/>
          <w:b/>
          <w:i/>
          <w:color w:val="000000"/>
          <w:sz w:val="20"/>
        </w:rPr>
      </w:pPr>
      <w:r>
        <w:rPr>
          <w:rFonts w:ascii="Arial;sans-serif" w:hAnsi="Arial;sans-serif"/>
          <w:b/>
          <w:i/>
          <w:color w:val="000000"/>
          <w:sz w:val="20"/>
        </w:rPr>
        <w:t>Other Items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Loss on financial instruments: $1.8 million (2025 – gain of $0.5 million), arising from the fair value remeasurement of the Convertible Notes derivative liability. The fair value of the derivative as at June 30, 2026, was estimated using a partial differential equation method with Monte Carlo simulation, with the following inputs: volatility of 84%, share price of $8.27, a risk-free rate of 4.01%, an expected dividend of 0%, and a credit spread of 4.53%. The loss primarily reflects an increase in the Company’s share price from $5.58 as at December 31, 2025, to $8.27 as at June 30, 2026, and an increase in the volatility from 75% as at December 31, 2025 to 84% as at June 30, 2026.</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Finance and other income: $16.0 million (2025 – $28.2 million), including: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Interest from Exar Capital: $13.5 million (2025 – $23.2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Interest from PGCo loans to Exar: $0.5 million (2025 – $3.1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Interest on cash and deposits: $1.6 million (2025 – $1.5 million).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Finance and other costs: $17.7 million (2025 – $14.0 million), primarily comprised of interest on the Convertible Notes.</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Transaction costs: $1.5 million (2025 – $2.3 million), mainly related to New JV transaction.</w:t>
      </w:r>
    </w:p>
    <w:p>
      <w:pPr>
        <w:pStyle w:val="TextBody"/>
        <w:bidi w:val="0"/>
        <w:spacing w:before="0" w:after="0"/>
        <w:jc w:val="right"/>
        <w:rPr/>
      </w:pPr>
      <w:r>
        <w:rPr/>
        <w:drawing>
          <wp:inline distT="0" distB="0" distL="0" distR="0">
            <wp:extent cx="2095500" cy="238125"/>
            <wp:effectExtent l="0" t="0" r="0" b="0"/>
            <wp:docPr id="118"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4" descr=""/>
                    <pic:cNvPicPr>
                      <a:picLocks noChangeAspect="1" noChangeArrowheads="1"/>
                    </pic:cNvPicPr>
                  </pic:nvPicPr>
                  <pic:blipFill>
                    <a:blip r:embed="rId73"/>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16840"/>
                <wp:effectExtent l="0" t="0" r="0" b="0"/>
                <wp:wrapNone/>
                <wp:docPr id="119"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Three months ended June 30, 2026 (“Q2 2026”), versus Three months ended June 30, 2025 (“Q2 2025”)</w:t>
      </w:r>
    </w:p>
    <w:p>
      <w:pPr>
        <w:pStyle w:val="TextBody"/>
        <w:bidi w:val="0"/>
        <w:spacing w:before="0" w:after="0"/>
        <w:jc w:val="left"/>
        <w:rPr/>
      </w:pPr>
      <w:r>
        <w:rPr/>
      </w:r>
    </w:p>
    <w:tbl>
      <w:tblPr>
        <w:tblW w:w="7821" w:type="dxa"/>
        <w:jc w:val="left"/>
        <w:tblInd w:w="0" w:type="dxa"/>
        <w:tblLayout w:type="fixed"/>
        <w:tblCellMar>
          <w:top w:w="28" w:type="dxa"/>
          <w:left w:w="28" w:type="dxa"/>
          <w:bottom w:w="28" w:type="dxa"/>
          <w:right w:w="28" w:type="dxa"/>
        </w:tblCellMar>
      </w:tblPr>
      <w:tblGrid>
        <w:gridCol w:w="1575"/>
        <w:gridCol w:w="1384"/>
        <w:gridCol w:w="1390"/>
        <w:gridCol w:w="435"/>
        <w:gridCol w:w="435"/>
        <w:gridCol w:w="435"/>
        <w:gridCol w:w="435"/>
        <w:gridCol w:w="435"/>
        <w:gridCol w:w="449"/>
        <w:gridCol w:w="255"/>
        <w:gridCol w:w="256"/>
        <w:gridCol w:w="337"/>
      </w:tblGrid>
      <w:tr>
        <w:trPr/>
        <w:tc>
          <w:tcPr>
            <w:tcW w:w="157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Financial results</w:t>
            </w:r>
          </w:p>
        </w:tc>
        <w:tc>
          <w:tcPr>
            <w:tcW w:w="2624"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848"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Change</w:t>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US$ million)</w:t>
            </w:r>
          </w:p>
        </w:tc>
        <w:tc>
          <w:tcPr>
            <w:tcW w:w="1305"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84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43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EXPENSES</w:t>
            </w:r>
          </w:p>
        </w:tc>
        <w:tc>
          <w:tcPr>
            <w:tcW w:w="13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Exploration and evaluation expenditures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based compensation</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of income/(loss) of Cauchari-Olaroz Project</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of loss of Sal de la Puna Project</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OTHER ITEMS</w:t>
            </w:r>
          </w:p>
        </w:tc>
        <w:tc>
          <w:tcPr>
            <w:tcW w:w="13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Transaction costs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Gain on financial instruments measured at fair value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and other costs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Foreign exchange loss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Finance and other income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(7.9)</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INCOME/(LOSS) BEFORE TAXES</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w:t>
            </w:r>
            <w:r>
              <w:rPr>
                <w:color w:val="000000"/>
              </w:rPr>
              <w:t>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E5E5E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Deferred tax recovery/(expense)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NET INCOME/(LOSS)</w:t>
            </w:r>
          </w:p>
        </w:tc>
        <w:tc>
          <w:tcPr>
            <w:tcW w:w="870"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1.3</w:t>
            </w:r>
            <w:r>
              <w:rPr>
                <w:color w:val="000000"/>
              </w:rPr>
              <w:t> </w:t>
            </w:r>
          </w:p>
        </w:tc>
        <w:tc>
          <w:tcPr>
            <w:tcW w:w="435"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(4.1)</w:t>
            </w:r>
          </w:p>
        </w:tc>
        <w:tc>
          <w:tcPr>
            <w:tcW w:w="4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5.4</w:t>
            </w:r>
            <w:r>
              <w:rPr>
                <w:color w:val="000000"/>
              </w:rPr>
              <w:t> </w:t>
            </w:r>
          </w:p>
        </w:tc>
        <w:tc>
          <w:tcPr>
            <w:tcW w:w="337"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reported a net income of $1.3 million for Q2 2026, compared to a loss of $4.1 million for Q2 2025. The change was primarily attributable to:</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share of income from the Cauchari-Olaroz Project of $12.3 million in Q2 2026, compared to a share of loss of $0.4 million in Q2 2025;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lower exploration and evaluation expenditures, due to lower activity in the quarter.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These impacts were partially offset by:</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lower finance and other income of $7.4 million in Q2 2026, compared to $14.5 million in Q2 2025; and</w:t>
      </w:r>
    </w:p>
    <w:p>
      <w:pPr>
        <w:pStyle w:val="TextBody"/>
        <w:bidi w:val="0"/>
        <w:spacing w:lineRule="auto" w:line="288" w:before="0" w:after="0"/>
        <w:ind w:left="0" w:right="0" w:hanging="360"/>
        <w:jc w:val="both"/>
        <w:rPr/>
      </w:pPr>
      <w:r>
        <w:rPr>
          <w:color w:val="000000"/>
        </w:rPr>
        <w:t>▪</w:t>
      </w:r>
      <w:r>
        <w:rPr>
          <w:rFonts w:ascii="Arial;sans-serif" w:hAnsi="Arial;sans-serif"/>
          <w:b w:val="false"/>
          <w:color w:val="000000"/>
          <w:sz w:val="20"/>
        </w:rPr>
        <w:t>higher transaction costs of $0.9 million in Q2 2026, compared to $0.2 million in Q2 2025.</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095500" cy="238125"/>
            <wp:effectExtent l="0" t="0" r="0" b="0"/>
            <wp:docPr id="12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45" descr=""/>
                    <pic:cNvPicPr>
                      <a:picLocks noChangeAspect="1" noChangeArrowheads="1"/>
                    </pic:cNvPicPr>
                  </pic:nvPicPr>
                  <pic:blipFill>
                    <a:blip r:embed="rId74"/>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16840"/>
                <wp:effectExtent l="0" t="0" r="0" b="0"/>
                <wp:wrapNone/>
                <wp:docPr id="121"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14</w:t>
                      </w:r>
                    </w:p>
                  </w:txbxContent>
                </v:textbox>
                <w10:wrap type="none"/>
              </v:rect>
            </w:pict>
          </mc:Fallback>
        </mc:AlternateContent>
      </w: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LIQUIDITY AND CAPITAL RESOURCES</w:t>
      </w:r>
    </w:p>
    <w:tbl>
      <w:tblPr>
        <w:tblW w:w="9580" w:type="dxa"/>
        <w:jc w:val="left"/>
        <w:tblInd w:w="0" w:type="dxa"/>
        <w:tblLayout w:type="fixed"/>
        <w:tblCellMar>
          <w:top w:w="28" w:type="dxa"/>
          <w:left w:w="28" w:type="dxa"/>
          <w:bottom w:w="28" w:type="dxa"/>
          <w:right w:w="28" w:type="dxa"/>
        </w:tblCellMar>
      </w:tblPr>
      <w:tblGrid>
        <w:gridCol w:w="1634"/>
        <w:gridCol w:w="1438"/>
        <w:gridCol w:w="1443"/>
        <w:gridCol w:w="435"/>
        <w:gridCol w:w="435"/>
        <w:gridCol w:w="435"/>
        <w:gridCol w:w="435"/>
        <w:gridCol w:w="435"/>
        <w:gridCol w:w="449"/>
        <w:gridCol w:w="378"/>
        <w:gridCol w:w="378"/>
        <w:gridCol w:w="378"/>
        <w:gridCol w:w="378"/>
        <w:gridCol w:w="378"/>
        <w:gridCol w:w="551"/>
      </w:tblGrid>
      <w:tr>
        <w:trPr/>
        <w:tc>
          <w:tcPr>
            <w:tcW w:w="16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Flow Highlights</w:t>
            </w:r>
          </w:p>
        </w:tc>
        <w:tc>
          <w:tcPr>
            <w:tcW w:w="2624"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441"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(in US$ million)</w:t>
            </w:r>
          </w:p>
        </w:tc>
        <w:tc>
          <w:tcPr>
            <w:tcW w:w="1305"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1134" w:type="dxa"/>
            <w:gridSpan w:val="3"/>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3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4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134"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30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used in operating activities</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(10.6)</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(20.5)</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provided/(used) in investing activities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58.7 </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Net cash provided/(used) in financing activities</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Effect of foreign exchange on cash</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Change in cash and cash equivalents</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2.3</w:t>
            </w:r>
            <w:r>
              <w:rPr>
                <w:color w:val="000000"/>
              </w:rPr>
              <w:t>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(5.9)</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38.6</w:t>
            </w:r>
            <w:r>
              <w:rPr>
                <w:color w:val="000000"/>
              </w:rPr>
              <w:t> </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(17.5)</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and cash equivalents - beginning of the period</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97.4</w:t>
            </w:r>
            <w:r>
              <w:rPr>
                <w:color w:val="000000"/>
              </w:rPr>
              <w:t>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73.9</w:t>
            </w: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61.1</w:t>
            </w:r>
            <w:r>
              <w:rPr>
                <w:color w:val="000000"/>
              </w:rPr>
              <w:t> </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85.5</w:t>
            </w: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Cash and cash equivalents - end of the period</w:t>
            </w:r>
          </w:p>
        </w:tc>
        <w:tc>
          <w:tcPr>
            <w:tcW w:w="870"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99.7</w:t>
            </w:r>
            <w:r>
              <w:rPr>
                <w:color w:val="000000"/>
              </w:rPr>
              <w:t> </w:t>
            </w:r>
          </w:p>
        </w:tc>
        <w:tc>
          <w:tcPr>
            <w:tcW w:w="435"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68.0</w:t>
            </w:r>
            <w:r>
              <w:rPr>
                <w:color w:val="000000"/>
              </w:rPr>
              <w:t> </w:t>
            </w:r>
          </w:p>
        </w:tc>
        <w:tc>
          <w:tcPr>
            <w:tcW w:w="4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99.7</w:t>
            </w:r>
            <w:r>
              <w:rPr>
                <w:color w:val="000000"/>
              </w:rPr>
              <w:t> </w:t>
            </w:r>
          </w:p>
        </w:tc>
        <w:tc>
          <w:tcPr>
            <w:tcW w:w="378"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68.0</w:t>
            </w:r>
            <w:r>
              <w:rPr>
                <w:color w:val="000000"/>
              </w:rPr>
              <w:t> </w:t>
            </w:r>
          </w:p>
        </w:tc>
        <w:tc>
          <w:tcPr>
            <w:tcW w:w="5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cash and cash equivalents of $99.7 million.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expects that its existing cash balance, proceeds from operations, and other sources of financing will provide sufficient resources to fund the planned expenditures at Pastos Grandes, Sal de la Puna, its share of Cauchari-Olaroz planned expenditures, as well as general and administrative costs and other obligations (refer to section “Liquidity and going concern” above).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timing and amount of expenditures for Pastos Grandes are within the Company’s control due to its controlling interests in the project. However, pursuant to the agreements governing Cauchari-Olaroz and Sal de la Puna, decisions regarding capital budgets for these projects require agreement between Lithium Argentina and the projects’ co-owner, Ganfeng.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capital resources are driven by the status of its assets, the operation at Cauchari-Olaroz, and its ability to secure investor support for its initiative.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the long-term, the Company expects to meet its obligations and fund the development of its projects through the financing plans described above. However, given the conditions associated with such financing, there can be no assurance that the Company will successfully complete all of its contemplated financing plans. Except as disclosed, the Company is not aware of any trends, demands, commitments, events, or uncertainties that are likely to materially affect its liquidity and capital resources, either positively or negatively, in the near or foreseeable future. The Company does not engage in currency hedging to mitigate any risks related to currency fluctuations.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Operating Activities</w:t>
      </w:r>
    </w:p>
    <w:p>
      <w:pPr>
        <w:pStyle w:val="TextBody"/>
        <w:bidi w:val="0"/>
        <w:spacing w:lineRule="auto" w:line="288" w:before="0" w:after="200"/>
        <w:jc w:val="both"/>
        <w:rPr/>
      </w:pPr>
      <w:r>
        <w:rPr>
          <w:rFonts w:ascii="Arial;sans-serif" w:hAnsi="Arial;sans-serif"/>
          <w:b w:val="false"/>
          <w:color w:val="000000"/>
          <w:sz w:val="20"/>
        </w:rPr>
        <w:t>Cash used in operating activities for the six months ended June 30, 2026, was $</w:t>
      </w:r>
      <w:r>
        <w:rPr>
          <w:rFonts w:ascii="Arial;sans-serif" w:hAnsi="Arial;sans-serif"/>
          <w:b w:val="false"/>
          <w:color w:val="000000"/>
          <w:sz w:val="18"/>
        </w:rPr>
        <w:t>10.6</w:t>
      </w:r>
      <w:r>
        <w:rPr>
          <w:color w:val="000000"/>
        </w:rPr>
        <w:t xml:space="preserve"> </w:t>
      </w:r>
      <w:r>
        <w:rPr>
          <w:rFonts w:ascii="Arial;sans-serif" w:hAnsi="Arial;sans-serif"/>
          <w:b w:val="false"/>
          <w:color w:val="000000"/>
          <w:sz w:val="20"/>
        </w:rPr>
        <w:t>million (2025 – $20.5 million). The significant components of operating activities are discussed in the “Results of Operations” section above.</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Investing Activities</w:t>
      </w:r>
    </w:p>
    <w:p>
      <w:pPr>
        <w:pStyle w:val="TextBody"/>
        <w:bidi w:val="0"/>
        <w:spacing w:lineRule="auto" w:line="288" w:before="0" w:after="200"/>
        <w:jc w:val="both"/>
        <w:rPr/>
      </w:pPr>
      <w:r>
        <w:rPr>
          <w:rFonts w:ascii="Arial;sans-serif" w:hAnsi="Arial;sans-serif"/>
          <w:b w:val="false"/>
          <w:color w:val="000000"/>
          <w:sz w:val="20"/>
        </w:rPr>
        <w:t>Cash provided by investing activities for the six months ended June 30, 2026, was $58.7 million (2025 – $</w:t>
      </w:r>
      <w:r>
        <w:rPr>
          <w:rFonts w:ascii="Arial;sans-serif" w:hAnsi="Arial;sans-serif"/>
          <w:b/>
          <w:color w:val="000000"/>
          <w:sz w:val="20"/>
        </w:rPr>
        <w:t>3.4</w:t>
      </w:r>
      <w:r>
        <w:rPr>
          <w:color w:val="000000"/>
        </w:rPr>
        <w:t xml:space="preserve"> </w:t>
      </w:r>
      <w:r>
        <w:rPr>
          <w:rFonts w:ascii="Arial;sans-serif" w:hAnsi="Arial;sans-serif"/>
          <w:b w:val="false"/>
          <w:color w:val="000000"/>
          <w:sz w:val="20"/>
        </w:rPr>
        <w:t>million).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During the six months ended June 30, 2026, the Company received $72.0 million as repayment of its outstanding loan to Minera Exar and $12.9 million as partial repayment of outstanding loan interest from Exar Capital. This was partially offset by the acquisition of $26.0 million in Exar Capital loan receivables from Ganfeng Lithium.</w:t>
      </w:r>
    </w:p>
    <w:p>
      <w:pPr>
        <w:pStyle w:val="TextBody"/>
        <w:bidi w:val="0"/>
        <w:jc w:val="both"/>
        <w:rPr/>
      </w:pPr>
      <w:r>
        <w:rPr/>
      </w:r>
    </w:p>
    <w:p>
      <w:pPr>
        <w:pStyle w:val="TextBody"/>
        <w:bidi w:val="0"/>
        <w:spacing w:before="0" w:after="0"/>
        <w:jc w:val="right"/>
        <w:rPr/>
      </w:pPr>
      <w:r>
        <w:rPr/>
        <w:drawing>
          <wp:inline distT="0" distB="0" distL="0" distR="0">
            <wp:extent cx="2095500" cy="238125"/>
            <wp:effectExtent l="0" t="0" r="0" b="0"/>
            <wp:docPr id="12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6" descr=""/>
                    <pic:cNvPicPr>
                      <a:picLocks noChangeAspect="1" noChangeArrowheads="1"/>
                    </pic:cNvPicPr>
                  </pic:nvPicPr>
                  <pic:blipFill>
                    <a:blip r:embed="rId75"/>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16840"/>
                <wp:effectExtent l="0" t="0" r="0" b="0"/>
                <wp:wrapNone/>
                <wp:docPr id="123"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15</w:t>
                      </w:r>
                    </w:p>
                  </w:txbxContent>
                </v:textbox>
                <w10:wrap type="none"/>
              </v:rect>
            </w:pict>
          </mc:Fallback>
        </mc:AlternateConten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Financing Activities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Equity-settleable Convertible Notes</w:t>
      </w:r>
    </w:p>
    <w:p>
      <w:pPr>
        <w:pStyle w:val="TextBody"/>
        <w:bidi w:val="0"/>
        <w:spacing w:lineRule="auto" w:line="288" w:before="0" w:after="200"/>
        <w:jc w:val="both"/>
        <w:rPr/>
      </w:pPr>
      <w:r>
        <w:rPr>
          <w:rFonts w:ascii="Arial;sans-serif" w:hAnsi="Arial;sans-serif"/>
          <w:b w:val="false"/>
          <w:color w:val="000000"/>
          <w:sz w:val="20"/>
        </w:rPr>
        <w:t>On December 6, 2021, the Company closed an offering (the “</w:t>
      </w:r>
      <w:r>
        <w:rPr>
          <w:rFonts w:ascii="Arial;sans-serif" w:hAnsi="Arial;sans-serif"/>
          <w:b/>
          <w:color w:val="000000"/>
          <w:sz w:val="20"/>
        </w:rPr>
        <w:t>Offering</w:t>
      </w:r>
      <w:r>
        <w:rPr>
          <w:color w:val="000000"/>
        </w:rPr>
        <w:t>”</w:t>
      </w:r>
      <w:r>
        <w:rPr>
          <w:rFonts w:ascii="Arial;sans-serif" w:hAnsi="Arial;sans-serif"/>
          <w:b w:val="false"/>
          <w:color w:val="000000"/>
          <w:sz w:val="20"/>
        </w:rPr>
        <w:t>) of $225 million aggregate principal amount of 1.75% convertible senior notes due in 2027 (the “</w:t>
      </w:r>
      <w:r>
        <w:rPr>
          <w:rFonts w:ascii="Arial;sans-serif" w:hAnsi="Arial;sans-serif"/>
          <w:b/>
          <w:color w:val="000000"/>
          <w:sz w:val="20"/>
        </w:rPr>
        <w:t>Convertible Notes,</w:t>
      </w:r>
      <w:r>
        <w:rPr>
          <w:color w:val="000000"/>
        </w:rPr>
        <w:t>” “</w:t>
      </w:r>
      <w:r>
        <w:rPr>
          <w:rFonts w:ascii="Arial;sans-serif" w:hAnsi="Arial;sans-serif"/>
          <w:b/>
          <w:color w:val="000000"/>
          <w:sz w:val="20"/>
        </w:rPr>
        <w:t>Equity-settleable Convertible Notes</w:t>
      </w:r>
      <w:r>
        <w:rPr>
          <w:rFonts w:ascii="Arial;sans-serif" w:hAnsi="Arial;sans-serif"/>
          <w:b w:val="false"/>
          <w:color w:val="000000"/>
          <w:sz w:val="20"/>
        </w:rPr>
        <w:t>,” or “</w:t>
      </w:r>
      <w:r>
        <w:rPr>
          <w:rFonts w:ascii="Arial;sans-serif" w:hAnsi="Arial;sans-serif"/>
          <w:b/>
          <w:color w:val="000000"/>
          <w:sz w:val="20"/>
        </w:rPr>
        <w:t>Notes</w:t>
      </w:r>
      <w:r>
        <w:rPr>
          <w:color w:val="000000"/>
        </w:rPr>
        <w:t>”</w:t>
      </w:r>
      <w:r>
        <w:rPr>
          <w:rFonts w:ascii="Arial;sans-serif" w:hAnsi="Arial;sans-serif"/>
          <w:b w:val="false"/>
          <w:color w:val="000000"/>
          <w:sz w:val="20"/>
        </w:rPr>
        <w:t>). On December 9, 2021, the initial purchasers under the Offering exercised, in full, their option to purchase up to an additional $33.75 million aggregate principal amount of the Convertible Notes, increasing the total Offering size to $258.75 million.</w:t>
      </w:r>
    </w:p>
    <w:p>
      <w:pPr>
        <w:pStyle w:val="TextBody"/>
        <w:bidi w:val="0"/>
        <w:spacing w:lineRule="auto" w:line="288" w:before="0" w:after="200"/>
        <w:jc w:val="both"/>
        <w:rPr/>
      </w:pPr>
      <w:r>
        <w:rPr>
          <w:rFonts w:ascii="Arial;sans-serif" w:hAnsi="Arial;sans-serif"/>
          <w:b w:val="false"/>
          <w:color w:val="000000"/>
          <w:sz w:val="20"/>
        </w:rPr>
        <w:t>Pursuant to the indenture governing the terms of the Convertible Notes, as amended by a first supplemental indenture to reflect the name change of the Company in connection with the Separation and a second supplemental indenture to reflect the effects of the Continuation (the “</w:t>
      </w:r>
      <w:r>
        <w:rPr>
          <w:rFonts w:ascii="Arial;sans-serif" w:hAnsi="Arial;sans-serif"/>
          <w:b/>
          <w:color w:val="000000"/>
          <w:sz w:val="20"/>
        </w:rPr>
        <w:t>Indenture</w:t>
      </w:r>
      <w:r>
        <w:rPr>
          <w:color w:val="000000"/>
        </w:rPr>
        <w:t>”</w:t>
      </w:r>
      <w:r>
        <w:rPr>
          <w:rFonts w:ascii="Arial;sans-serif" w:hAnsi="Arial;sans-serif"/>
          <w:b w:val="false"/>
          <w:color w:val="000000"/>
          <w:sz w:val="20"/>
        </w:rPr>
        <w:t>), the holders of the Convertible Notes, at their election, were permitted to surrender the Convertible Notes for conversion (i) into shares of the Company during the approximate 30-trading day period prior to the closing of the Continuation and (ii) into shares of the Company during the period from and after the closing of the Continuation until approximately the 35th trading day after the closing of the Continuation. The Conversion Rate (as defined in the Indenture) for the Convertible Notes was initially 21.2307 shares per $1,000 principal amount of the Convertible Notes. Pursuant to the terms and conditions of the Indenture, the Conversion Rate for the Convertible Notes was adjusted on October 17, 2023, to 52.6019 shares of the Company per $1,000 principal amount of the Convertible Notes based on the trading prices of the Company’s shares over the preceding 10-trading day period due to the Separation transaction. The Conversion Rate for the Convertible Notes was not adjusted as a result of the Continuation. None of the Convertible Notes were surrendered for conversion during the permitted conversion period in connection with the Continuation.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are convertible at the option of the holders upon satisfaction of certain conditions (as disclosed in Note 12 of the Q2 2026 Financial Statements) that are beyond the control of the Company. If such conditions are satisfied, the Convertible Notes would be convertible at the option of the holders and upon conversion, the Notes may be settled, at the Company’s election, in common shares of the Company, cash or a combination thereof. As a result, the Company does not have the right to defer settlement of the Convertible Notes for more than 12 months after the end of the reporting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CURRENT SHARE DATA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Issued and outstanding diluted securities of the Company as at the date of this MD&amp;A are as follows:</w:t>
      </w:r>
    </w:p>
    <w:tbl>
      <w:tblPr>
        <w:tblW w:w="4155" w:type="dxa"/>
        <w:jc w:val="left"/>
        <w:tblInd w:w="0" w:type="dxa"/>
        <w:tblLayout w:type="fixed"/>
        <w:tblCellMar>
          <w:top w:w="28" w:type="dxa"/>
          <w:left w:w="28" w:type="dxa"/>
          <w:bottom w:w="28" w:type="dxa"/>
          <w:right w:w="28" w:type="dxa"/>
        </w:tblCellMar>
      </w:tblPr>
      <w:tblGrid>
        <w:gridCol w:w="1014"/>
        <w:gridCol w:w="893"/>
        <w:gridCol w:w="898"/>
        <w:gridCol w:w="394"/>
        <w:gridCol w:w="394"/>
        <w:gridCol w:w="562"/>
      </w:tblGrid>
      <w:tr>
        <w:trPr/>
        <w:tc>
          <w:tcPr>
            <w:tcW w:w="1014"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op w:val="single" w:sz="8" w:space="0" w:color="000000"/>
              <w:left w:val="single" w:sz="8" w:space="0" w:color="000000"/>
            </w:tcBorders>
            <w:shd w:fill="153A57" w:val="clear"/>
            <w:tcMar>
              <w:top w:w="52" w:type="dxa"/>
              <w:left w:w="63"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Shares issued and outstanding</w:t>
            </w:r>
          </w:p>
        </w:tc>
        <w:tc>
          <w:tcPr>
            <w:tcW w:w="1350" w:type="dxa"/>
            <w:gridSpan w:val="3"/>
            <w:tcBorders>
              <w:top w:val="single" w:sz="8" w:space="0" w:color="000000"/>
              <w:right w:val="single" w:sz="8" w:space="0" w:color="000000"/>
            </w:tcBorders>
            <w:tcMar>
              <w:top w:w="52"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164.1 million</w:t>
            </w:r>
          </w:p>
        </w:tc>
      </w:tr>
      <w:tr>
        <w:trPr/>
        <w:tc>
          <w:tcPr>
            <w:tcW w:w="2805" w:type="dxa"/>
            <w:gridSpan w:val="3"/>
            <w:tcBorders>
              <w:left w:val="single" w:sz="8" w:space="0" w:color="000000"/>
            </w:tcBorders>
            <w:shd w:fill="153A57" w:val="clear"/>
            <w:tcMar>
              <w:top w:w="0" w:type="dxa"/>
              <w:left w:w="63"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Restricted Share Units (RSUs)</w:t>
            </w:r>
          </w:p>
        </w:tc>
        <w:tc>
          <w:tcPr>
            <w:tcW w:w="13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7.6 million</w:t>
            </w:r>
          </w:p>
        </w:tc>
      </w:tr>
      <w:tr>
        <w:trPr/>
        <w:tc>
          <w:tcPr>
            <w:tcW w:w="2805" w:type="dxa"/>
            <w:gridSpan w:val="3"/>
            <w:tcBorders>
              <w:left w:val="single" w:sz="8" w:space="0" w:color="000000"/>
            </w:tcBorders>
            <w:shd w:fill="153A57" w:val="clear"/>
            <w:tcMar>
              <w:top w:w="0" w:type="dxa"/>
              <w:left w:w="63"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Deferred Share Units (DSUs)</w:t>
            </w:r>
          </w:p>
        </w:tc>
        <w:tc>
          <w:tcPr>
            <w:tcW w:w="13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1.1 million</w:t>
            </w:r>
          </w:p>
        </w:tc>
      </w:tr>
      <w:tr>
        <w:trPr/>
        <w:tc>
          <w:tcPr>
            <w:tcW w:w="2805" w:type="dxa"/>
            <w:gridSpan w:val="3"/>
            <w:tcBorders>
              <w:left w:val="single" w:sz="8" w:space="0" w:color="000000"/>
            </w:tcBorders>
            <w:shd w:fill="153A57" w:val="clear"/>
            <w:tcMar>
              <w:top w:w="0" w:type="dxa"/>
              <w:left w:w="63"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Stock Options (diluted)</w:t>
            </w:r>
          </w:p>
        </w:tc>
        <w:tc>
          <w:tcPr>
            <w:tcW w:w="13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0.8 million</w:t>
            </w:r>
          </w:p>
        </w:tc>
      </w:tr>
      <w:tr>
        <w:trPr/>
        <w:tc>
          <w:tcPr>
            <w:tcW w:w="2805" w:type="dxa"/>
            <w:gridSpan w:val="3"/>
            <w:tcBorders>
              <w:left w:val="single" w:sz="8" w:space="0" w:color="000000"/>
            </w:tcBorders>
            <w:shd w:fill="153A57" w:val="clear"/>
            <w:tcMar>
              <w:top w:w="0" w:type="dxa"/>
              <w:left w:w="63" w:type="dxa"/>
              <w:bottom w:w="0" w:type="dxa"/>
              <w:right w:w="0" w:type="dxa"/>
            </w:tcMar>
            <w:vAlign w:val="center"/>
          </w:tcPr>
          <w:p>
            <w:pPr>
              <w:pStyle w:val="TableContents"/>
              <w:bidi w:val="0"/>
              <w:spacing w:lineRule="auto" w:line="288" w:before="0" w:after="283"/>
              <w:jc w:val="left"/>
              <w:rPr>
                <w:rFonts w:ascii="Arial;sans-serif" w:hAnsi="Arial;sans-serif"/>
                <w:b w:val="false"/>
                <w:color w:val="FFFFFF"/>
                <w:sz w:val="18"/>
              </w:rPr>
            </w:pPr>
            <w:r>
              <w:rPr>
                <w:rFonts w:ascii="Arial;sans-serif" w:hAnsi="Arial;sans-serif"/>
                <w:b w:val="false"/>
                <w:color w:val="FFFFFF"/>
                <w:sz w:val="18"/>
              </w:rPr>
              <w:t>Performance Share Units (PSUs)</w:t>
            </w:r>
          </w:p>
        </w:tc>
        <w:tc>
          <w:tcPr>
            <w:tcW w:w="1350"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0.1 million</w:t>
            </w:r>
          </w:p>
        </w:tc>
      </w:tr>
      <w:tr>
        <w:trPr/>
        <w:tc>
          <w:tcPr>
            <w:tcW w:w="2805" w:type="dxa"/>
            <w:gridSpan w:val="3"/>
            <w:tcBorders>
              <w:top w:val="single" w:sz="8" w:space="0" w:color="000000"/>
              <w:left w:val="single" w:sz="8" w:space="0" w:color="000000"/>
              <w:bottom w:val="single" w:sz="8" w:space="0" w:color="000000"/>
            </w:tcBorders>
            <w:shd w:fill="153A57" w:val="clear"/>
            <w:tcMar>
              <w:top w:w="52" w:type="dxa"/>
              <w:left w:w="63" w:type="dxa"/>
              <w:bottom w:w="3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Total shares, fully diluted</w:t>
            </w:r>
          </w:p>
        </w:tc>
        <w:tc>
          <w:tcPr>
            <w:tcW w:w="1350" w:type="dxa"/>
            <w:gridSpan w:val="3"/>
            <w:tcBorders>
              <w:top w:val="single" w:sz="8" w:space="0" w:color="000000"/>
              <w:bottom w:val="single" w:sz="8" w:space="0" w:color="000000"/>
              <w:right w:val="single" w:sz="8" w:space="0" w:color="000000"/>
            </w:tcBorders>
            <w:tcMar>
              <w:top w:w="52" w:type="dxa"/>
              <w:left w:w="0" w:type="dxa"/>
              <w:bottom w:w="3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173.7 million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RELATED PARTY TRANSACTIONS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Any transactions between the Company and its equity-accounted investees Sal de la Puna, Minera Exar, and Exar Capital are considered related party transactions (refer Note 5, 6, 7 and 8 of the Q2 2026 Financial Statements).</w:t>
      </w:r>
    </w:p>
    <w:p>
      <w:pPr>
        <w:pStyle w:val="TextBody"/>
        <w:bidi w:val="0"/>
        <w:spacing w:lineRule="auto" w:line="288" w:before="0" w:after="120"/>
        <w:ind w:left="0" w:right="0" w:hanging="720"/>
        <w:jc w:val="both"/>
        <w:rPr/>
      </w:pPr>
      <w:r>
        <w:rPr>
          <w:color w:val="000000"/>
        </w:rPr>
        <w:t>▪</w:t>
      </w:r>
      <w:r>
        <w:rPr>
          <w:rFonts w:ascii="Arial;sans-serif" w:hAnsi="Arial;sans-serif"/>
          <w:b w:val="false"/>
          <w:color w:val="000000"/>
          <w:sz w:val="20"/>
        </w:rPr>
        <w:t>Minera Exar, one of the Company’s equity-accounted investees, has entered into the following transactions with companies controlled by the family of its Director, who is also a director of Lithium Argentina:</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Option Agreement with Grupo Minero Los Boros S.A. dated March 28, 2016, for the transfer to Minera Exar of title to certain mining properties that comprise a portion of the Cauchari-Olaroz project. During the first quarter of 2026, the Company resumed discussions with Grupo Minero Los Boros regarding the agreed quarterly payment schedule, which had been suspended since August </w:t>
      </w:r>
    </w:p>
    <w:p>
      <w:pPr>
        <w:pStyle w:val="TextBody"/>
        <w:bidi w:val="0"/>
        <w:spacing w:before="0" w:after="0"/>
        <w:jc w:val="right"/>
        <w:rPr/>
      </w:pPr>
      <w:r>
        <w:rPr/>
        <w:drawing>
          <wp:inline distT="0" distB="0" distL="0" distR="0">
            <wp:extent cx="2095500" cy="238125"/>
            <wp:effectExtent l="0" t="0" r="0" b="0"/>
            <wp:docPr id="124"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47" descr=""/>
                    <pic:cNvPicPr>
                      <a:picLocks noChangeAspect="1" noChangeArrowheads="1"/>
                    </pic:cNvPicPr>
                  </pic:nvPicPr>
                  <pic:blipFill>
                    <a:blip r:embed="rId76"/>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16840"/>
                <wp:effectExtent l="0" t="0" r="0" b="0"/>
                <wp:wrapNone/>
                <wp:docPr id="125" name="Frame5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16</w:t>
                      </w:r>
                    </w:p>
                  </w:txbxContent>
                </v:textbox>
                <w10:wrap type="none"/>
              </v:rect>
            </w:pict>
          </mc:Fallback>
        </mc:AlternateContent>
      </w:r>
    </w:p>
    <w:p>
      <w:pPr>
        <w:pStyle w:val="TextBody"/>
        <w:bidi w:val="0"/>
        <w:spacing w:lineRule="auto" w:line="288" w:before="0" w:after="120"/>
        <w:jc w:val="both"/>
        <w:rPr>
          <w:rFonts w:ascii="Arial;sans-serif" w:hAnsi="Arial;sans-serif"/>
          <w:b w:val="false"/>
          <w:color w:val="000000"/>
          <w:sz w:val="20"/>
        </w:rPr>
      </w:pPr>
      <w:r>
        <w:rPr>
          <w:rFonts w:ascii="Arial;sans-serif" w:hAnsi="Arial;sans-serif"/>
          <w:b w:val="false"/>
          <w:color w:val="000000"/>
          <w:sz w:val="20"/>
        </w:rPr>
        <w:t>2022. As a result, the fifth installment of $200 thousand was paid in the first week of February 2026 and the sixth installment of $200 thousand on May 4, 2026.</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No expenditures were incurred under the construction services contract for the Cauchari-Olaroz project with Magna Construcciones S.R.L. (“</w:t>
      </w:r>
      <w:r>
        <w:rPr>
          <w:rFonts w:ascii="Arial;sans-serif" w:hAnsi="Arial;sans-serif"/>
          <w:b/>
          <w:color w:val="000000"/>
          <w:sz w:val="20"/>
        </w:rPr>
        <w:t>Magna</w:t>
      </w:r>
      <w:r>
        <w:rPr>
          <w:color w:val="000000"/>
        </w:rPr>
        <w:t>”</w:t>
      </w:r>
      <w:r>
        <w:rPr>
          <w:rFonts w:ascii="Arial;sans-serif" w:hAnsi="Arial;sans-serif"/>
          <w:b w:val="false"/>
          <w:color w:val="000000"/>
          <w:sz w:val="20"/>
        </w:rPr>
        <w:t>) for the six months ended June 30, 2026.</w:t>
      </w:r>
    </w:p>
    <w:p>
      <w:pPr>
        <w:pStyle w:val="TextBody"/>
        <w:bidi w:val="0"/>
        <w:spacing w:lineRule="auto" w:line="288" w:before="0" w:after="120"/>
        <w:ind w:left="0" w:right="0" w:hanging="360"/>
        <w:jc w:val="left"/>
        <w:rPr/>
      </w:pPr>
      <w:r>
        <w:rPr>
          <w:color w:val="000000"/>
        </w:rPr>
        <w:t>•</w:t>
      </w:r>
      <w:r>
        <w:rPr>
          <w:rFonts w:ascii="Arial;sans-serif" w:hAnsi="Arial;sans-serif"/>
          <w:b w:val="false"/>
          <w:color w:val="000000"/>
          <w:sz w:val="20"/>
        </w:rPr>
        <w:t>Service agreement with a consortium owned 49% by Magna. The agreement, entered into in Q1 2022, relates to the servicing of the evaporation ponds at Cauchari-Olaroz over a five-year term. For the six months ended June 30, 2026, transactions under this agreement totaled $11.3 million (including VAT).</w:t>
      </w:r>
    </w:p>
    <w:p>
      <w:pPr>
        <w:pStyle w:val="TextBody"/>
        <w:bidi w:val="0"/>
        <w:spacing w:lineRule="auto" w:line="288" w:before="0" w:after="0"/>
        <w:ind w:left="0" w:right="0" w:hanging="720"/>
        <w:jc w:val="both"/>
        <w:rPr/>
      </w:pPr>
      <w:r>
        <w:rPr>
          <w:color w:val="000000"/>
        </w:rPr>
        <w:t>▪</w:t>
      </w:r>
      <w:r>
        <w:rPr>
          <w:rFonts w:ascii="Arial;sans-serif" w:hAnsi="Arial;sans-serif"/>
          <w:b w:val="false"/>
          <w:color w:val="000000"/>
          <w:sz w:val="20"/>
        </w:rPr>
        <w:t>During the six months ended June 30, 2026, Exar Capital facilitated the purchase of certain materials and supplies on behalf of Minera Exar amounting to $29.6 million (2025 – $12.4 million). These transactions are set</w:t>
      </w:r>
      <w:r>
        <w:rPr>
          <w:rFonts w:ascii="Arial;sans-serif" w:hAnsi="Arial;sans-serif"/>
          <w:b w:val="false"/>
          <w:color w:val="000000"/>
          <w:sz w:val="20"/>
          <w:shd w:fill="FFFFFF" w:val="clear"/>
        </w:rPr>
        <w:t>tled by Minera Exar upon delivery of the goods and receipt of supplier documentation.</w:t>
      </w:r>
    </w:p>
    <w:p>
      <w:pPr>
        <w:pStyle w:val="TextBody"/>
        <w:bidi w:val="0"/>
        <w:spacing w:before="0" w:after="0"/>
        <w:jc w:val="both"/>
        <w:rPr/>
      </w:pPr>
      <w:r>
        <w:rPr/>
      </w:r>
    </w:p>
    <w:p>
      <w:pPr>
        <w:pStyle w:val="TextBody"/>
        <w:bidi w:val="0"/>
        <w:spacing w:lineRule="auto" w:line="288" w:before="0" w:after="0"/>
        <w:ind w:left="0" w:right="0" w:hanging="720"/>
        <w:jc w:val="both"/>
        <w:rPr/>
      </w:pPr>
      <w:r>
        <w:rPr>
          <w:color w:val="000000"/>
          <w:shd w:fill="FFFFFF" w:val="clear"/>
        </w:rPr>
        <w:t>▪</w:t>
      </w:r>
      <w:r>
        <w:rPr>
          <w:rFonts w:ascii="Arial;sans-serif" w:hAnsi="Arial;sans-serif"/>
          <w:b w:val="false"/>
          <w:color w:val="000000"/>
          <w:sz w:val="20"/>
          <w:shd w:fill="FFFFFF" w:val="clear"/>
        </w:rPr>
        <w:t>On April 28, 2026, Minera Exar made an early payment of a portion of the accrued interest on its loans with Exar Capital totaling $15.0 million, in accordance with the terms of the loan agreements in effect between the parties.</w:t>
      </w:r>
    </w:p>
    <w:p>
      <w:pPr>
        <w:pStyle w:val="TextBody"/>
        <w:bidi w:val="0"/>
        <w:spacing w:before="0" w:after="0"/>
        <w:ind w:left="0" w:right="0" w:hanging="360"/>
        <w:jc w:val="left"/>
        <w:rPr/>
      </w:pPr>
      <w:r>
        <w:rPr/>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During the six months ended June 30, 2026, Minera Exar repaid in full the loan receivable owing to PGCo, including accrued interest, totaling $72.0 million, comprising principal of $65.0 million and accrued interest of $7.0 million. In conjunction with this repayment, the Company acquired $26.0 million of Exar Capital loan receivables from Ganfeng.</w:t>
      </w:r>
    </w:p>
    <w:p>
      <w:pPr>
        <w:pStyle w:val="TextBody"/>
        <w:bidi w:val="0"/>
        <w:spacing w:lineRule="auto" w:line="288" w:before="0" w:after="200"/>
        <w:ind w:left="0" w:right="0" w:hanging="720"/>
        <w:jc w:val="both"/>
        <w:rPr/>
      </w:pPr>
      <w:r>
        <w:rPr>
          <w:color w:val="000000"/>
        </w:rPr>
        <w:t>▪</w:t>
      </w:r>
      <w:r>
        <w:rPr>
          <w:rFonts w:ascii="Arial;sans-serif" w:hAnsi="Arial;sans-serif"/>
          <w:b w:val="false"/>
          <w:color w:val="000000"/>
          <w:sz w:val="20"/>
        </w:rPr>
        <w:t xml:space="preserve">During the six months ended June 30, 2026, Exar Capital repaid a portion of outstanding loan interest to the Company totaling $12.9 million. </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amounts due by Minera Exar and Exar Capital to related parties arising from such transactions are unsecured, non-interest bearing and have no specific terms of payment.</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Compensation of Key Management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key management consists of the executive management team, who supervise day-to-day operations, and independent directors on the Company’s Board of Directors, who oversee management. Their compensation was as follows:</w:t>
      </w:r>
    </w:p>
    <w:tbl>
      <w:tblPr>
        <w:tblW w:w="10205" w:type="dxa"/>
        <w:jc w:val="left"/>
        <w:tblInd w:w="0" w:type="dxa"/>
        <w:tblLayout w:type="fixed"/>
        <w:tblCellMar>
          <w:top w:w="28" w:type="dxa"/>
          <w:left w:w="28" w:type="dxa"/>
          <w:bottom w:w="28" w:type="dxa"/>
          <w:right w:w="28" w:type="dxa"/>
        </w:tblCellMar>
      </w:tblPr>
      <w:tblGrid>
        <w:gridCol w:w="2179"/>
        <w:gridCol w:w="1867"/>
        <w:gridCol w:w="1877"/>
        <w:gridCol w:w="392"/>
        <w:gridCol w:w="347"/>
        <w:gridCol w:w="347"/>
        <w:gridCol w:w="392"/>
        <w:gridCol w:w="347"/>
        <w:gridCol w:w="358"/>
        <w:gridCol w:w="351"/>
        <w:gridCol w:w="305"/>
        <w:gridCol w:w="305"/>
        <w:gridCol w:w="378"/>
        <w:gridCol w:w="309"/>
        <w:gridCol w:w="451"/>
      </w:tblGrid>
      <w:tr>
        <w:trPr/>
        <w:tc>
          <w:tcPr>
            <w:tcW w:w="2179" w:type="dxa"/>
            <w:tcBorders/>
            <w:vAlign w:val="center"/>
          </w:tcPr>
          <w:p>
            <w:pPr>
              <w:pStyle w:val="TableContents"/>
              <w:bidi w:val="0"/>
              <w:spacing w:before="0" w:after="283"/>
              <w:jc w:val="left"/>
              <w:rPr>
                <w:sz w:val="4"/>
                <w:szCs w:val="4"/>
              </w:rPr>
            </w:pPr>
            <w:r>
              <w:rPr>
                <w:sz w:val="4"/>
                <w:szCs w:val="4"/>
              </w:rPr>
            </w:r>
          </w:p>
        </w:tc>
        <w:tc>
          <w:tcPr>
            <w:tcW w:w="1867"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5923" w:type="dxa"/>
            <w:gridSpan w:val="3"/>
            <w:tcBorders>
              <w:top w:val="single" w:sz="20"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3"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Three Months Ended June 30,</w:t>
            </w:r>
          </w:p>
        </w:tc>
        <w:tc>
          <w:tcPr>
            <w:tcW w:w="2099" w:type="dxa"/>
            <w:gridSpan w:val="6"/>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Six Months Ended June 30,</w:t>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097"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c>
          <w:tcPr>
            <w:tcW w:w="961" w:type="dxa"/>
            <w:gridSpan w:val="3"/>
            <w:tcBorders>
              <w:top w:val="single" w:sz="8"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2026</w:t>
            </w:r>
          </w:p>
        </w:tc>
        <w:tc>
          <w:tcPr>
            <w:tcW w:w="1138"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2025</w:t>
            </w:r>
          </w:p>
        </w:tc>
      </w:tr>
      <w:tr>
        <w:trPr/>
        <w:tc>
          <w:tcPr>
            <w:tcW w:w="5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09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961"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5923"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Share based compensation</w:t>
            </w:r>
          </w:p>
        </w:tc>
        <w:tc>
          <w:tcPr>
            <w:tcW w:w="739" w:type="dxa"/>
            <w:gridSpan w:val="2"/>
            <w:tcBorders>
              <w:top w:val="single" w:sz="8"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347" w:type="dxa"/>
            <w:tcBorders>
              <w:top w:val="single" w:sz="8" w:space="0" w:color="153A57"/>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58" w:type="dxa"/>
            <w:tcBorders>
              <w:top w:val="single" w:sz="8" w:space="0" w:color="153A5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305" w:type="dxa"/>
            <w:tcBorders>
              <w:top w:val="single" w:sz="8" w:space="0" w:color="153A57"/>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451" w:type="dxa"/>
            <w:tcBorders>
              <w:top w:val="single" w:sz="8" w:space="0" w:color="153A5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Salaries, bonuses, benefits and directors' fees included in general &amp; administrative expenses</w:t>
            </w:r>
          </w:p>
        </w:tc>
        <w:tc>
          <w:tcPr>
            <w:tcW w:w="739"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4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0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Salaries, bonuses and benefits included in exploration expenditures</w:t>
            </w:r>
          </w:p>
        </w:tc>
        <w:tc>
          <w:tcPr>
            <w:tcW w:w="739"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4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0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Salaries and benefits capitalized to Investment in Cauchari-Olaroz Project</w:t>
            </w:r>
          </w:p>
        </w:tc>
        <w:tc>
          <w:tcPr>
            <w:tcW w:w="739"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47"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3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3" w:type="dxa"/>
            <w:gridSpan w:val="3"/>
            <w:tcBorders>
              <w:top w:val="single" w:sz="8" w:space="0" w:color="153A57"/>
              <w:bottom w:val="single" w:sz="8" w:space="0" w:color="153A57"/>
            </w:tcBorders>
            <w:tcMar>
              <w:left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347" w:type="dxa"/>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358"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6" w:type="dxa"/>
            <w:gridSpan w:val="2"/>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305" w:type="dxa"/>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451"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4933" w:type="dxa"/>
        <w:jc w:val="left"/>
        <w:tblInd w:w="0" w:type="dxa"/>
        <w:tblLayout w:type="fixed"/>
        <w:tblCellMar>
          <w:top w:w="28" w:type="dxa"/>
          <w:left w:w="28" w:type="dxa"/>
          <w:bottom w:w="28" w:type="dxa"/>
          <w:right w:w="28" w:type="dxa"/>
        </w:tblCellMar>
      </w:tblPr>
      <w:tblGrid>
        <w:gridCol w:w="662"/>
        <w:gridCol w:w="582"/>
        <w:gridCol w:w="585"/>
        <w:gridCol w:w="429"/>
        <w:gridCol w:w="429"/>
        <w:gridCol w:w="431"/>
        <w:gridCol w:w="530"/>
        <w:gridCol w:w="530"/>
        <w:gridCol w:w="755"/>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op w:val="single" w:sz="20"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0" w:space="0" w:color="153A57"/>
            </w:tcBorders>
            <w:shd w:fill="E5E5E5" w:val="clear"/>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December 31, 2025</w:t>
            </w:r>
          </w:p>
        </w:tc>
      </w:tr>
      <w:tr>
        <w:trPr/>
        <w:tc>
          <w:tcPr>
            <w:tcW w:w="1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w:t>
            </w:r>
          </w:p>
        </w:tc>
      </w:tr>
      <w:tr>
        <w:trPr/>
        <w:tc>
          <w:tcPr>
            <w:tcW w:w="1829" w:type="dxa"/>
            <w:gridSpan w:val="3"/>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Total due to directors</w:t>
            </w:r>
          </w:p>
        </w:tc>
        <w:tc>
          <w:tcPr>
            <w:tcW w:w="858" w:type="dxa"/>
            <w:gridSpan w:val="2"/>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431" w:type="dxa"/>
            <w:tcBorders>
              <w:top w:val="single" w:sz="8" w:space="0" w:color="153A57"/>
              <w:bottom w:val="single" w:sz="8" w:space="0" w:color="153A57"/>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755"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Offtake Arrangements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 xml:space="preserve">Each of the Company and Ganfeng are entitled to a share of offtake from production at Cauchari-Olaroz. The Company is entitled to 49% of the offtake, which would amount to approximately 19,600 tpa of lithium carbonate at full capacity of 40,000 tpa. </w:t>
      </w:r>
    </w:p>
    <w:p>
      <w:pPr>
        <w:pStyle w:val="TextBody"/>
        <w:bidi w:val="0"/>
        <w:spacing w:before="0" w:after="0"/>
        <w:jc w:val="right"/>
        <w:rPr/>
      </w:pPr>
      <w:r>
        <w:rPr/>
        <w:drawing>
          <wp:inline distT="0" distB="0" distL="0" distR="0">
            <wp:extent cx="2095500" cy="238125"/>
            <wp:effectExtent l="0" t="0" r="0" b="0"/>
            <wp:docPr id="12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48" descr=""/>
                    <pic:cNvPicPr>
                      <a:picLocks noChangeAspect="1" noChangeArrowheads="1"/>
                    </pic:cNvPicPr>
                  </pic:nvPicPr>
                  <pic:blipFill>
                    <a:blip r:embed="rId77"/>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16840"/>
                <wp:effectExtent l="0" t="0" r="0" b="0"/>
                <wp:wrapNone/>
                <wp:docPr id="127" name="Frame5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17</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has entered into offtake agreements with both Ganfeng and Bangchak to sell a fixed amount of offtake production at market-based prices, with Ganfeng entitled to 80% of the first 12,250 tpa of lithium carbonate (9,800 tpa assuming full production capacity) and Bangchak entitled to up to 6,000 tpa of lithium carbonate (assuming full production capacity). The balance of the Company’s offtake entitlement, amounting to up to approximately 3,800 tpa of lithium carbonate, remains uncommitted, except for limited residual rights available to Bangchak if production does not meet full capacity.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CONTRACTUAL OBLIGATIONS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the following contractual obligations on an undiscounted basis:</w:t>
      </w:r>
    </w:p>
    <w:tbl>
      <w:tblPr>
        <w:tblW w:w="6580" w:type="dxa"/>
        <w:jc w:val="left"/>
        <w:tblInd w:w="0" w:type="dxa"/>
        <w:tblLayout w:type="fixed"/>
        <w:tblCellMar>
          <w:top w:w="28" w:type="dxa"/>
          <w:left w:w="28" w:type="dxa"/>
          <w:bottom w:w="28" w:type="dxa"/>
          <w:right w:w="28" w:type="dxa"/>
        </w:tblCellMar>
      </w:tblPr>
      <w:tblGrid>
        <w:gridCol w:w="1234"/>
        <w:gridCol w:w="1082"/>
        <w:gridCol w:w="1089"/>
        <w:gridCol w:w="266"/>
        <w:gridCol w:w="266"/>
        <w:gridCol w:w="266"/>
        <w:gridCol w:w="440"/>
        <w:gridCol w:w="440"/>
        <w:gridCol w:w="440"/>
        <w:gridCol w:w="401"/>
        <w:gridCol w:w="266"/>
        <w:gridCol w:w="390"/>
      </w:tblGrid>
      <w:tr>
        <w:trPr/>
        <w:tc>
          <w:tcPr>
            <w:tcW w:w="123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20"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20" w:space="0" w:color="153A57"/>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Years ending December 31,</w:t>
            </w:r>
          </w:p>
        </w:tc>
      </w:tr>
      <w:tr>
        <w:trPr/>
        <w:tc>
          <w:tcPr>
            <w:tcW w:w="3405" w:type="dxa"/>
            <w:gridSpan w:val="3"/>
            <w:tcBorders>
              <w:top w:val="single" w:sz="8"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320"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2027 and later</w:t>
            </w:r>
          </w:p>
        </w:tc>
        <w:tc>
          <w:tcPr>
            <w:tcW w:w="1057"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Total</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405" w:type="dxa"/>
            <w:gridSpan w:val="3"/>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Convertible senior notes</w:t>
            </w:r>
          </w:p>
        </w:tc>
        <w:tc>
          <w:tcPr>
            <w:tcW w:w="532" w:type="dxa"/>
            <w:gridSpan w:val="2"/>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66" w:type="dxa"/>
            <w:tcBorders>
              <w:top w:val="single" w:sz="8" w:space="0" w:color="153A5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261.0 </w:t>
            </w:r>
          </w:p>
        </w:tc>
        <w:tc>
          <w:tcPr>
            <w:tcW w:w="440" w:type="dxa"/>
            <w:tcBorders>
              <w:top w:val="single" w:sz="8" w:space="0" w:color="153A5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153A57"/>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263.3 </w:t>
            </w:r>
          </w:p>
        </w:tc>
        <w:tc>
          <w:tcPr>
            <w:tcW w:w="390" w:type="dxa"/>
            <w:tcBorders>
              <w:top w:val="single" w:sz="8" w:space="0" w:color="153A57"/>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and accrued liabilities</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Obligations under office leases¹</w:t>
            </w:r>
          </w:p>
        </w:tc>
        <w:tc>
          <w:tcPr>
            <w:tcW w:w="5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4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3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2"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266"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261.5 </w:t>
            </w:r>
          </w:p>
        </w:tc>
        <w:tc>
          <w:tcPr>
            <w:tcW w:w="440"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324.7 </w:t>
            </w:r>
          </w:p>
        </w:tc>
        <w:tc>
          <w:tcPr>
            <w:tcW w:w="390" w:type="dxa"/>
            <w:tcBorders>
              <w:top w:val="single" w:sz="8" w:space="0" w:color="153A57"/>
              <w:bottom w:val="single" w:sz="8" w:space="0" w:color="153A57"/>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pPr>
      <w:r>
        <w:rPr>
          <w:rFonts w:ascii="Arial;sans-serif" w:hAnsi="Arial;sans-serif"/>
          <w:b w:val="false"/>
          <w:i/>
          <w:color w:val="000000"/>
          <w:sz w:val="12"/>
        </w:rPr>
        <w:t>1</w:t>
      </w:r>
      <w:r>
        <w:rPr>
          <w:rFonts w:ascii="Arial;sans-serif" w:hAnsi="Arial;sans-serif"/>
          <w:b w:val="false"/>
          <w:i/>
          <w:color w:val="000000"/>
          <w:sz w:val="18"/>
        </w:rPr>
        <w:t>Include principal and interest/finance charges.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Convertible Notes are classified as current liabilities as at June 30, 2026, since the Notes are convertible at the option of the holders upon satisfaction of certain conditions that are beyond the control of the Company. If such conditions are satisfied, the Notes would be convertible at the option of the holders and upon conversion, the Notes may be settled, at the Company’s election, in shares, cash, or a combination thereof. The table above summarizes the contractual maturities as of June 30, 2026, with respect to the Convertible Notes, assuming that such conditions will not be satisfied before the due date.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commitments related to royalties and other payments are disclosed in Note 11 of the Q2 2026 financial statements filed on SEDAR+ and EDGAR, most of which will be incurred in the future if the Company continues to hold the subject property, proceeds with construction, or begins production.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NON-IFRS AND OTHER FINANCIAL MEASURES</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Exar Cash Operating Costs and Total Cash Costs per Tonne</w:t>
      </w:r>
    </w:p>
    <w:p>
      <w:pPr>
        <w:pStyle w:val="TextBody"/>
        <w:bidi w:val="0"/>
        <w:spacing w:lineRule="auto" w:line="288" w:before="0" w:after="200"/>
        <w:jc w:val="both"/>
        <w:rPr/>
      </w:pPr>
      <w:r>
        <w:rPr>
          <w:rFonts w:ascii="Arial;sans-serif" w:hAnsi="Arial;sans-serif"/>
          <w:b w:val="false"/>
          <w:color w:val="000000"/>
          <w:sz w:val="20"/>
        </w:rPr>
        <w:t>Lithium Argentina reports Exar’s “</w:t>
      </w:r>
      <w:r>
        <w:rPr>
          <w:rFonts w:ascii="Arial;sans-serif" w:hAnsi="Arial;sans-serif"/>
          <w:b/>
          <w:color w:val="000000"/>
          <w:sz w:val="20"/>
        </w:rPr>
        <w:t>Cash Operating Costs per tonne</w:t>
      </w:r>
      <w:r>
        <w:rPr>
          <w:color w:val="000000"/>
        </w:rPr>
        <w:t xml:space="preserve">” </w:t>
      </w:r>
      <w:r>
        <w:rPr>
          <w:rFonts w:ascii="Arial;sans-serif" w:hAnsi="Arial;sans-serif"/>
          <w:b w:val="false"/>
          <w:color w:val="000000"/>
          <w:sz w:val="20"/>
        </w:rPr>
        <w:t>and “</w:t>
      </w:r>
      <w:r>
        <w:rPr>
          <w:rFonts w:ascii="Arial;sans-serif" w:hAnsi="Arial;sans-serif"/>
          <w:b/>
          <w:color w:val="000000"/>
          <w:sz w:val="20"/>
        </w:rPr>
        <w:t>Total Cash Costs per tonne</w:t>
      </w:r>
      <w:r>
        <w:rPr>
          <w:color w:val="000000"/>
        </w:rPr>
        <w:t xml:space="preserve">” </w:t>
      </w:r>
      <w:r>
        <w:rPr>
          <w:rFonts w:ascii="Arial;sans-serif" w:hAnsi="Arial;sans-serif"/>
          <w:b w:val="false"/>
          <w:color w:val="000000"/>
          <w:sz w:val="20"/>
        </w:rPr>
        <w:t>as key non-GAAP financial measures or ratios. These non-GAAP financial measures or ratios do not have a standardized meaning under IFRS and might not be comparable to similar financial measures disclosed by other issuers. The most directly comparable IFRS measure is Exar's Cost of Sales. These metrics provide investors with insight into the Company’s cost structure by excluding non-cash and non-operating items, thereby enabling better comparability of operating performance. Cash operating margin is a non-GAAP ratio, calculated as Exar's revenue less Cash Operating Costs (C1), divided by revenue. It is a performance measure and not a measure of liquidity, and the most directly comparable IFRS measure is Exar's gross profit.</w:t>
      </w:r>
    </w:p>
    <w:p>
      <w:pPr>
        <w:pStyle w:val="TextBody"/>
        <w:bidi w:val="0"/>
        <w:spacing w:lineRule="auto" w:line="288" w:before="0" w:after="200"/>
        <w:jc w:val="both"/>
        <w:rPr/>
      </w:pPr>
      <w:r>
        <w:rPr>
          <w:rFonts w:ascii="Arial;sans-serif" w:hAnsi="Arial;sans-serif"/>
          <w:b/>
          <w:color w:val="000000"/>
          <w:sz w:val="20"/>
        </w:rPr>
        <w:t>Cash Operating Cost</w:t>
      </w:r>
      <w:r>
        <w:rPr>
          <w:color w:val="000000"/>
        </w:rPr>
        <w:t xml:space="preserve"> </w:t>
      </w:r>
      <w:r>
        <w:rPr>
          <w:rFonts w:ascii="Arial;sans-serif" w:hAnsi="Arial;sans-serif"/>
          <w:b w:val="false"/>
          <w:color w:val="000000"/>
          <w:sz w:val="20"/>
        </w:rPr>
        <w:t>(C1) includes all expenditures incurred at the site, such as brine management, lithium plant processing, site and provincial office overheads, and inventory adjustments. These costs also include project general and administrative costs and sales logistics costs.</w:t>
      </w:r>
    </w:p>
    <w:p>
      <w:pPr>
        <w:pStyle w:val="TextBody"/>
        <w:bidi w:val="0"/>
        <w:spacing w:lineRule="auto" w:line="288" w:before="0" w:after="200"/>
        <w:jc w:val="both"/>
        <w:rPr/>
      </w:pPr>
      <w:r>
        <w:rPr>
          <w:rFonts w:ascii="Arial;sans-serif" w:hAnsi="Arial;sans-serif"/>
          <w:b/>
          <w:color w:val="000000"/>
          <w:sz w:val="20"/>
        </w:rPr>
        <w:t>Total Cash Costs</w:t>
      </w:r>
      <w:r>
        <w:rPr>
          <w:color w:val="000000"/>
        </w:rPr>
        <w:t xml:space="preserve"> </w:t>
      </w:r>
      <w:r>
        <w:rPr>
          <w:rFonts w:ascii="Arial;sans-serif" w:hAnsi="Arial;sans-serif"/>
          <w:b w:val="false"/>
          <w:color w:val="000000"/>
          <w:sz w:val="20"/>
        </w:rPr>
        <w:t>(C2) include all C1 costs, along with selling costs, export duties (net of refunds) and provincial royalties. Tonnes are reported on a tonnes sold basis at FOB Buenos Aires port. Exar covers the cost of transporting lithium carbonate to the port, while the delivery cost to the buyer's factory in China, along with processing and other costs are subtracted from the sales price.</w:t>
      </w:r>
    </w:p>
    <w:p>
      <w:pPr>
        <w:pStyle w:val="TextBody"/>
        <w:bidi w:val="0"/>
        <w:spacing w:before="0" w:after="0"/>
        <w:jc w:val="right"/>
        <w:rPr/>
      </w:pPr>
      <w:r>
        <w:rPr/>
        <w:drawing>
          <wp:inline distT="0" distB="0" distL="0" distR="0">
            <wp:extent cx="2095500" cy="238125"/>
            <wp:effectExtent l="0" t="0" r="0" b="0"/>
            <wp:docPr id="12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49" descr=""/>
                    <pic:cNvPicPr>
                      <a:picLocks noChangeAspect="1" noChangeArrowheads="1"/>
                    </pic:cNvPicPr>
                  </pic:nvPicPr>
                  <pic:blipFill>
                    <a:blip r:embed="rId78"/>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16840"/>
                <wp:effectExtent l="0" t="0" r="0" b="0"/>
                <wp:wrapNone/>
                <wp:docPr id="129" name="Frame5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18</w:t>
                      </w:r>
                    </w:p>
                  </w:txbxContent>
                </v:textbox>
                <w10:wrap type="none"/>
              </v:rect>
            </w:pict>
          </mc:Fallback>
        </mc:AlternateConten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RECONCILIATION TO NON-GAAP MEASURES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Exar on a 100% basis</w:t>
      </w:r>
    </w:p>
    <w:tbl>
      <w:tblPr>
        <w:tblW w:w="10205" w:type="dxa"/>
        <w:jc w:val="left"/>
        <w:tblInd w:w="0" w:type="dxa"/>
        <w:tblLayout w:type="fixed"/>
        <w:tblCellMar>
          <w:top w:w="28" w:type="dxa"/>
          <w:left w:w="28" w:type="dxa"/>
          <w:bottom w:w="28" w:type="dxa"/>
          <w:right w:w="28" w:type="dxa"/>
        </w:tblCellMar>
      </w:tblPr>
      <w:tblGrid>
        <w:gridCol w:w="1787"/>
        <w:gridCol w:w="1530"/>
        <w:gridCol w:w="1534"/>
        <w:gridCol w:w="146"/>
        <w:gridCol w:w="142"/>
        <w:gridCol w:w="133"/>
        <w:gridCol w:w="314"/>
        <w:gridCol w:w="317"/>
        <w:gridCol w:w="198"/>
        <w:gridCol w:w="314"/>
        <w:gridCol w:w="317"/>
        <w:gridCol w:w="198"/>
        <w:gridCol w:w="268"/>
        <w:gridCol w:w="268"/>
        <w:gridCol w:w="256"/>
        <w:gridCol w:w="314"/>
        <w:gridCol w:w="317"/>
        <w:gridCol w:w="198"/>
        <w:gridCol w:w="322"/>
        <w:gridCol w:w="309"/>
        <w:gridCol w:w="198"/>
        <w:gridCol w:w="240"/>
        <w:gridCol w:w="241"/>
        <w:gridCol w:w="344"/>
      </w:tblGrid>
      <w:tr>
        <w:trPr/>
        <w:tc>
          <w:tcPr>
            <w:tcW w:w="178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421" w:type="dxa"/>
            <w:gridSpan w:val="3"/>
            <w:tcBorders/>
            <w:shd w:fill="153A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Q2-26</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Q2-25</w:t>
            </w:r>
          </w:p>
        </w:tc>
        <w:tc>
          <w:tcPr>
            <w:tcW w:w="792"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Change</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Q2-26</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Q1-26</w:t>
            </w:r>
          </w:p>
        </w:tc>
        <w:tc>
          <w:tcPr>
            <w:tcW w:w="825"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Change</w:t>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Depreciation and inventory net realizable value adjustments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General &amp; administration and sales logistics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C1: Cash Operating Costs</w:t>
            </w:r>
          </w:p>
        </w:tc>
        <w:tc>
          <w:tcPr>
            <w:tcW w:w="4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w:t>
            </w:r>
          </w:p>
        </w:tc>
        <w:tc>
          <w:tcPr>
            <w:tcW w:w="63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52.5</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52.7</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(0.2)</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52.5</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53.9</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(1.4)</w:t>
            </w:r>
          </w:p>
        </w:tc>
        <w:tc>
          <w:tcPr>
            <w:tcW w:w="3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Selling costs, duties and royalties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C2: Total Cash Costs</w:t>
            </w:r>
          </w:p>
        </w:tc>
        <w:tc>
          <w:tcPr>
            <w:tcW w:w="42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M$</w:t>
            </w:r>
          </w:p>
        </w:tc>
        <w:tc>
          <w:tcPr>
            <w:tcW w:w="63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62.4</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55.0</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7.4</w:t>
            </w:r>
            <w:r>
              <w:rPr>
                <w:color w:val="000000"/>
              </w:rPr>
              <w:t>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62.4</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62.1</w:t>
            </w:r>
            <w:r>
              <w:rPr>
                <w:color w:val="000000"/>
              </w:rPr>
              <w:t> </w:t>
            </w:r>
          </w:p>
        </w:tc>
        <w:tc>
          <w:tcPr>
            <w:tcW w:w="198"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0.3</w:t>
            </w:r>
            <w:r>
              <w:rPr>
                <w:color w:val="000000"/>
              </w:rPr>
              <w:t> </w:t>
            </w:r>
          </w:p>
        </w:tc>
        <w:tc>
          <w:tcPr>
            <w:tcW w:w="34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Li2CO3 Shipments (dry base)</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tns</w:t>
            </w:r>
          </w:p>
        </w:tc>
        <w:tc>
          <w:tcPr>
            <w:tcW w:w="82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8,901</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8,635</w:t>
            </w:r>
          </w:p>
        </w:tc>
        <w:tc>
          <w:tcPr>
            <w:tcW w:w="79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82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8,901</w:t>
            </w:r>
          </w:p>
        </w:tc>
        <w:tc>
          <w:tcPr>
            <w:tcW w:w="82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10,006</w:t>
            </w:r>
          </w:p>
        </w:tc>
        <w:tc>
          <w:tcPr>
            <w:tcW w:w="8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(1,105)</w:t>
            </w:r>
          </w:p>
        </w:tc>
      </w:tr>
      <w:tr>
        <w:trPr/>
        <w:tc>
          <w:tcPr>
            <w:tcW w:w="485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C1 Total Cash Operating Costs per tonne</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$/tn</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5,897</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6,098</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(201)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5,897</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5,391</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506</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color w:val="000000"/>
                <w:sz w:val="18"/>
              </w:rPr>
            </w:pPr>
            <w:r>
              <w:rPr>
                <w:rFonts w:ascii="Arial;sans-serif" w:hAnsi="Arial;sans-serif"/>
                <w:b/>
                <w:color w:val="000000"/>
                <w:sz w:val="18"/>
              </w:rPr>
              <w:t>C2 Total Cash Costs per tonne</w:t>
            </w:r>
          </w:p>
        </w:tc>
        <w:tc>
          <w:tcPr>
            <w:tcW w:w="42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$/tn</w:t>
            </w:r>
          </w:p>
        </w:tc>
        <w:tc>
          <w:tcPr>
            <w:tcW w:w="63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7,005</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6,366</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639</w:t>
            </w:r>
            <w:r>
              <w:rPr>
                <w:color w:val="000000"/>
              </w:rPr>
              <w:t>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7,005</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6,208</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797</w:t>
            </w:r>
            <w:r>
              <w:rPr>
                <w:color w:val="000000"/>
              </w:rPr>
              <w:t> </w:t>
            </w:r>
          </w:p>
        </w:tc>
        <w:tc>
          <w:tcPr>
            <w:tcW w:w="34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Arial;sans-serif" w:hAnsi="Arial;sans-serif"/>
          <w:b w:val="false"/>
          <w:i/>
          <w:color w:val="000000"/>
          <w:sz w:val="16"/>
        </w:rPr>
      </w:pPr>
      <w:r>
        <w:rPr>
          <w:rFonts w:ascii="Arial;sans-serif" w:hAnsi="Arial;sans-serif"/>
          <w:b w:val="false"/>
          <w:i/>
          <w:color w:val="000000"/>
          <w:sz w:val="16"/>
        </w:rPr>
        <w:t>Notes: Quarterly amounts added together may not equal to the total reported for the period due to rounding.</w:t>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Exar EBITDA and Adjusted EBITDA</w:t>
      </w:r>
    </w:p>
    <w:p>
      <w:pPr>
        <w:pStyle w:val="TextBody"/>
        <w:bidi w:val="0"/>
        <w:spacing w:lineRule="auto" w:line="288" w:before="0" w:after="200"/>
        <w:jc w:val="both"/>
        <w:rPr/>
      </w:pPr>
      <w:r>
        <w:rPr>
          <w:rFonts w:ascii="Arial;sans-serif" w:hAnsi="Arial;sans-serif"/>
          <w:b w:val="false"/>
          <w:color w:val="000000"/>
          <w:sz w:val="20"/>
        </w:rPr>
        <w:t>Lithium Argentina reports “</w:t>
      </w:r>
      <w:r>
        <w:rPr>
          <w:rFonts w:ascii="Arial;sans-serif" w:hAnsi="Arial;sans-serif"/>
          <w:b/>
          <w:color w:val="000000"/>
          <w:sz w:val="20"/>
        </w:rPr>
        <w:t>Exar EBITDA</w:t>
      </w:r>
      <w:r>
        <w:rPr>
          <w:color w:val="000000"/>
        </w:rPr>
        <w:t xml:space="preserve">” </w:t>
      </w:r>
      <w:r>
        <w:rPr>
          <w:rFonts w:ascii="Arial;sans-serif" w:hAnsi="Arial;sans-serif"/>
          <w:b w:val="false"/>
          <w:color w:val="000000"/>
          <w:sz w:val="20"/>
        </w:rPr>
        <w:t>and “</w:t>
      </w:r>
      <w:r>
        <w:rPr>
          <w:rFonts w:ascii="Arial;sans-serif" w:hAnsi="Arial;sans-serif"/>
          <w:b/>
          <w:color w:val="000000"/>
          <w:sz w:val="20"/>
        </w:rPr>
        <w:t>Exar Adjusted EBITDA</w:t>
      </w:r>
      <w:r>
        <w:rPr>
          <w:color w:val="000000"/>
        </w:rPr>
        <w:t xml:space="preserve">” </w:t>
      </w:r>
      <w:r>
        <w:rPr>
          <w:rFonts w:ascii="Arial;sans-serif" w:hAnsi="Arial;sans-serif"/>
          <w:b w:val="false"/>
          <w:color w:val="000000"/>
          <w:sz w:val="20"/>
        </w:rPr>
        <w:t>as supplemental non-GAAP operational measures. These measures are presented on a 100% Exar basis and do not represent amounts attributable to Lithium Argentina or its shareholders. Lithium Argentina accounts for its 44.8% interest in Exar using the equity method and accordingly recognizes only its proportionate share of Exar’s net income or loss as a single line item in its consolidated statements of operations. These non-GAAP measures do not have a standardized meaning under IFRS and may not be comparable to similar measures disclosed by other issuers.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Management presents these measures to provide investors and other stakeholders with additional insight into the operational performance of the asset in which Lithium Argentina holds its primary interest.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Exar EBITDA is defined as Exar’s net income (loss) before income tax expense (recovery), finance costs (net), and depreciation and amortization. Exar Adjusted EBITDA further excludes foreign exchange gains and losses, gains and losses arising from derivative liabilities, other income and expense items of a non-cash or non-operating nature. These adjustments reflect items that management considers to be outside the ordinary course of operations at the Cauchari-Olaroz project and that may obscure period-to-period and peer-to-peer comparability of operating results. We believe that disclosing these measures assists readers in understanding the ongoing cash-generating potential of our significant equity investee in order to provide liquidity to fund its own needs and service its outstanding debt, as well as repay loans provided by Lithium Argentina and pay dividends.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Exar on a 100% basis</w:t>
      </w:r>
    </w:p>
    <w:tbl>
      <w:tblPr>
        <w:tblW w:w="8907" w:type="dxa"/>
        <w:jc w:val="left"/>
        <w:tblInd w:w="0" w:type="dxa"/>
        <w:tblLayout w:type="fixed"/>
        <w:tblCellMar>
          <w:top w:w="28" w:type="dxa"/>
          <w:left w:w="28" w:type="dxa"/>
          <w:bottom w:w="28" w:type="dxa"/>
          <w:right w:w="28" w:type="dxa"/>
        </w:tblCellMar>
      </w:tblPr>
      <w:tblGrid>
        <w:gridCol w:w="1309"/>
        <w:gridCol w:w="1151"/>
        <w:gridCol w:w="1155"/>
        <w:gridCol w:w="307"/>
        <w:gridCol w:w="309"/>
        <w:gridCol w:w="206"/>
        <w:gridCol w:w="343"/>
        <w:gridCol w:w="347"/>
        <w:gridCol w:w="206"/>
        <w:gridCol w:w="360"/>
        <w:gridCol w:w="361"/>
        <w:gridCol w:w="256"/>
        <w:gridCol w:w="307"/>
        <w:gridCol w:w="309"/>
        <w:gridCol w:w="206"/>
        <w:gridCol w:w="307"/>
        <w:gridCol w:w="309"/>
        <w:gridCol w:w="206"/>
        <w:gridCol w:w="308"/>
        <w:gridCol w:w="308"/>
        <w:gridCol w:w="337"/>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9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Q2-25</w:t>
            </w:r>
          </w:p>
        </w:tc>
        <w:tc>
          <w:tcPr>
            <w:tcW w:w="977"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Q1-26</w:t>
            </w:r>
          </w:p>
        </w:tc>
        <w:tc>
          <w:tcPr>
            <w:tcW w:w="953"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(56.7)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(22.3)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+2.7 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+29.6 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costs, net</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(12.6)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+4.9 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(1.2)</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(66.2)</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+11.0 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FX losses/(gains)</w:t>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+1.9 </w:t>
            </w:r>
          </w:p>
        </w:tc>
        <w:tc>
          <w:tcPr>
            <w:tcW w:w="25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+11.3 </w:t>
            </w:r>
          </w:p>
        </w:tc>
        <w:tc>
          <w:tcPr>
            <w:tcW w:w="337"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Derivative (gains)/losses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+168.5 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(9.1)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(income)/loss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3333"/>
                <w:sz w:val="18"/>
              </w:rPr>
            </w:pPr>
            <w:r>
              <w:rPr>
                <w:rFonts w:ascii="Arial;sans-serif" w:hAnsi="Arial;sans-serif"/>
                <w:b w:val="false"/>
                <w:color w:val="333333"/>
                <w:sz w:val="18"/>
              </w:rPr>
              <w:t>(8.7)</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616"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+101.7 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+4.5 </w:t>
            </w:r>
          </w:p>
        </w:tc>
        <w:tc>
          <w:tcPr>
            <w:tcW w:w="3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80"/>
        <w:jc w:val="both"/>
        <w:rPr>
          <w:rFonts w:ascii="Arial;sans-serif" w:hAnsi="Arial;sans-serif"/>
          <w:b w:val="false"/>
          <w:i/>
          <w:color w:val="000000"/>
          <w:sz w:val="15"/>
        </w:rPr>
      </w:pPr>
      <w:r>
        <w:rPr>
          <w:rFonts w:ascii="Arial;sans-serif" w:hAnsi="Arial;sans-serif"/>
          <w:b w:val="false"/>
          <w:i/>
          <w:color w:val="000000"/>
          <w:sz w:val="15"/>
        </w:rPr>
        <w:t>Note: The reconciliation above has been prepared using financial information from Exar's financial statements, adjusted for certain reclassifications to conform with Lithium Argentina's presentation. Figures may not sum due to rounding.</w:t>
      </w:r>
    </w:p>
    <w:p>
      <w:pPr>
        <w:pStyle w:val="TextBody"/>
        <w:bidi w:val="0"/>
        <w:spacing w:before="0" w:after="0"/>
        <w:jc w:val="right"/>
        <w:rPr/>
      </w:pPr>
      <w:r>
        <w:rPr/>
        <w:drawing>
          <wp:inline distT="0" distB="0" distL="0" distR="0">
            <wp:extent cx="2095500" cy="238125"/>
            <wp:effectExtent l="0" t="0" r="0" b="0"/>
            <wp:docPr id="13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0" descr=""/>
                    <pic:cNvPicPr>
                      <a:picLocks noChangeAspect="1" noChangeArrowheads="1"/>
                    </pic:cNvPicPr>
                  </pic:nvPicPr>
                  <pic:blipFill>
                    <a:blip r:embed="rId79"/>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16840"/>
                <wp:effectExtent l="0" t="0" r="0" b="0"/>
                <wp:wrapNone/>
                <wp:docPr id="131" name="Frame5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19</w:t>
                      </w:r>
                    </w:p>
                  </w:txbxContent>
                </v:textbox>
                <w10:wrap type="none"/>
              </v:rect>
            </w:pict>
          </mc:Fallback>
        </mc:AlternateContent>
      </w:r>
    </w:p>
    <w:p>
      <w:pPr>
        <w:pStyle w:val="TextBody"/>
        <w:bidi w:val="0"/>
        <w:spacing w:lineRule="auto" w:line="288" w:before="0" w:after="200"/>
        <w:jc w:val="both"/>
        <w:rPr>
          <w:rFonts w:ascii="Arial;sans-serif" w:hAnsi="Arial;sans-serif"/>
          <w:b w:val="false"/>
          <w:i/>
          <w:color w:val="000000"/>
          <w:sz w:val="15"/>
        </w:rPr>
      </w:pPr>
      <w:r>
        <w:rPr>
          <w:rFonts w:ascii="Arial;sans-serif" w:hAnsi="Arial;sans-serif"/>
          <w:b w:val="false"/>
          <w:i/>
          <w:color w:val="000000"/>
          <w:sz w:val="15"/>
        </w:rPr>
        <w:t>Derivative gains and losses reflect fair value changes related to an embedded derivative within Exar’s USD-denominated related party loans, that are contractually required to be settled in Argentine Pesos using the Blue-Chip Swap (“BCS”) exchange rate. The fair value of this embedded derivative fluctuates with changes in the spread between the BCS rate and the official Argentine exchange rate. These amounts are excluded from Adjusted EBITDA because they reflect non-operating fair value movements associated with financing arrangements rather than the underlying operating performance of the Cauchari-Olaroz project.</w:t>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Exar Free Cash Flow and Exar Free Cash Flow from Operations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Lithium Argentina reports “</w:t>
      </w:r>
      <w:r>
        <w:rPr>
          <w:rFonts w:ascii="Arial;sans-serif" w:hAnsi="Arial;sans-serif"/>
          <w:b/>
          <w:color w:val="000000"/>
          <w:sz w:val="20"/>
        </w:rPr>
        <w:t>Exar Free Cash Flow</w:t>
      </w:r>
      <w:r>
        <w:rPr>
          <w:color w:val="000000"/>
        </w:rPr>
        <w:t xml:space="preserve">” </w:t>
      </w:r>
      <w:r>
        <w:rPr>
          <w:rFonts w:ascii="Arial;sans-serif" w:hAnsi="Arial;sans-serif"/>
          <w:b w:val="false"/>
          <w:color w:val="000000"/>
          <w:sz w:val="20"/>
        </w:rPr>
        <w:t>and “</w:t>
      </w:r>
      <w:r>
        <w:rPr>
          <w:rFonts w:ascii="Arial;sans-serif" w:hAnsi="Arial;sans-serif"/>
          <w:b/>
          <w:color w:val="000000"/>
          <w:sz w:val="20"/>
        </w:rPr>
        <w:t>Exar Free Cash Flow from Operations</w:t>
      </w:r>
      <w:r>
        <w:rPr>
          <w:color w:val="000000"/>
        </w:rPr>
        <w:t xml:space="preserve">” </w:t>
      </w:r>
      <w:r>
        <w:rPr>
          <w:rFonts w:ascii="Arial;sans-serif" w:hAnsi="Arial;sans-serif"/>
          <w:b w:val="false"/>
          <w:color w:val="000000"/>
          <w:sz w:val="20"/>
        </w:rPr>
        <w:t>as supplemental non-GAAP financial measures, presented on a 100% Exar basis. They are not standardized financial measures under IFRS and may not be comparable to similar measures disclosed by other issuers, including measures with similar titles. Exar Free Cash Flow is net cash generated from operating activities of Exar, less capital expenditures. Exar Free Cash Flow from Operations is Exar Free Cash Flow before the deduction of development capital expenditures, including the payment of capitalized interest. The most directly comparable IFRS measure for both is net cash generated from operating activities of Exar, presented under “Financial Information of Exar (on a 100% basis) – Cash Flows” above, where the underlying amounts are also disclosed.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Sustaining capital expenditures and development capital expenditures are supplementary financial measures which together comprise purchases of property, plant and equipment. Sustaining capital expenditures maintain existing operations and current production levels; development capital expenditures increase current or future production capacity, cash flow or earnings potential. Both are measured on a cash basis, and where an expenditure serves both purposes, classification follows its primary purpose. Development capital expenditures include the payment of capitalized interest settled during the periods presented.</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Because Lithium Argentina’s interest in Cauchari-Olaroz is held through an equity-accounted investment rather than a controlled subsidiary, Exar’s cash flows are not presented in the Company’s consolidated statement of cash flows. Exar Free Cash Flow gives users visibility into the cash generated by the underlying operating asset after all capital expenditure incurred in the period. Development capital expenditures, including payment of capitalized interest are deducted in Exar Free Cash Flow because they are a cash cost of acquiring those production assets; had that interest been paid as it accrued rather than deferred, the cash outflow would have been included in purchases of property, plant and equipment in earlier periods. Other amounts within Exar’s investing and financing activities are not deducted, principally treasury investment activity, VAT recovery arising in the comparative period only, and movements in loan principal.</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Exar Free Cash Flow from Operations is presented in addition to, and not in place of, Exar Free Cash Flow, to show the operation’s cash generation before development capital expenditures. Development capital expenditures in the periods presented relate to the payment of interest capitalized prior to commercial production, so the capitalized balance is fixed and reduces as it is settled: approximately $16.6 million was settled during the six months ended June 30, 2026, leaving approximately $18.9 million payable to Exar Capital, a jointly owned financing company wholly owned by Lithium Argentina and Ganfeng.</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Neither measure represents an amount attributable to Lithium Argentina or its shareholders, nor residual cash available for discretionary use, and both are stated before scheduled principal repayments and interest on Exar’s third-party debt. Free Cash Flow from Operations at Exar does not represent cash flow available to the Company at its discretion. Under the shareholder agreement governing Cauchari-Olaroz, excess cash flow (as defined therein) is distributed between the Company and Ganfeng.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drawing>
          <wp:inline distT="0" distB="0" distL="0" distR="0">
            <wp:extent cx="2095500" cy="238125"/>
            <wp:effectExtent l="0" t="0" r="0" b="0"/>
            <wp:docPr id="13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1" descr=""/>
                    <pic:cNvPicPr>
                      <a:picLocks noChangeAspect="1" noChangeArrowheads="1"/>
                    </pic:cNvPicPr>
                  </pic:nvPicPr>
                  <pic:blipFill>
                    <a:blip r:embed="rId80"/>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16840"/>
                <wp:effectExtent l="0" t="0" r="0" b="0"/>
                <wp:wrapNone/>
                <wp:docPr id="133" name="Frame5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20</w:t>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Exar on a 100% basis</w:t>
      </w:r>
    </w:p>
    <w:tbl>
      <w:tblPr>
        <w:tblW w:w="9700" w:type="dxa"/>
        <w:jc w:val="left"/>
        <w:tblInd w:w="0" w:type="dxa"/>
        <w:tblLayout w:type="fixed"/>
        <w:tblCellMar>
          <w:top w:w="28" w:type="dxa"/>
          <w:left w:w="28" w:type="dxa"/>
          <w:bottom w:w="28" w:type="dxa"/>
          <w:right w:w="28" w:type="dxa"/>
        </w:tblCellMar>
      </w:tblPr>
      <w:tblGrid>
        <w:gridCol w:w="1678"/>
        <w:gridCol w:w="1475"/>
        <w:gridCol w:w="1482"/>
        <w:gridCol w:w="435"/>
        <w:gridCol w:w="435"/>
        <w:gridCol w:w="435"/>
        <w:gridCol w:w="435"/>
        <w:gridCol w:w="435"/>
        <w:gridCol w:w="449"/>
        <w:gridCol w:w="378"/>
        <w:gridCol w:w="378"/>
        <w:gridCol w:w="378"/>
        <w:gridCol w:w="378"/>
        <w:gridCol w:w="378"/>
        <w:gridCol w:w="551"/>
      </w:tblGrid>
      <w:tr>
        <w:trPr/>
        <w:tc>
          <w:tcPr>
            <w:tcW w:w="167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53A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153A57"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2441" w:type="dxa"/>
            <w:gridSpan w:val="6"/>
            <w:tcBorders/>
            <w:shd w:fill="153A57" w:val="clear"/>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635"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1305"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2026</w:t>
            </w:r>
          </w:p>
        </w:tc>
        <w:tc>
          <w:tcPr>
            <w:tcW w:w="1319"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2025</w:t>
            </w:r>
          </w:p>
        </w:tc>
        <w:tc>
          <w:tcPr>
            <w:tcW w:w="1134"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2026</w:t>
            </w:r>
          </w:p>
        </w:tc>
        <w:tc>
          <w:tcPr>
            <w:tcW w:w="1307" w:type="dxa"/>
            <w:gridSpan w:val="3"/>
            <w:tcBorders/>
            <w:shd w:fill="153A57"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FFFFFF"/>
                <w:sz w:val="18"/>
              </w:rPr>
            </w:pPr>
            <w:r>
              <w:rPr>
                <w:rFonts w:ascii="Arial;sans-serif" w:hAnsi="Arial;sans-serif"/>
                <w:b/>
                <w:color w:val="FFFFFF"/>
                <w:sz w:val="18"/>
              </w:rPr>
              <w:t>2025</w:t>
            </w:r>
          </w:p>
        </w:tc>
      </w:tr>
      <w:tr>
        <w:trPr/>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cash generated from operating activities (IFRS)</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142.4</w:t>
            </w:r>
            <w:r>
              <w:rPr>
                <w:color w:val="000000"/>
              </w:rPr>
              <w:t>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(15.3)</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177.9</w:t>
            </w:r>
            <w:r>
              <w:rPr>
                <w:color w:val="000000"/>
              </w:rPr>
              <w:t> </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(38.9)</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Purchases of PP&amp;E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Settlement of interest capitalized during construction</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Exar Free Cash Flow</w:t>
            </w:r>
          </w:p>
        </w:tc>
        <w:tc>
          <w:tcPr>
            <w:tcW w:w="870"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125.4</w:t>
            </w:r>
            <w:r>
              <w:rPr>
                <w:color w:val="000000"/>
              </w:rPr>
              <w:t> </w:t>
            </w:r>
          </w:p>
        </w:tc>
        <w:tc>
          <w:tcPr>
            <w:tcW w:w="435"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(17.4)</w:t>
            </w:r>
          </w:p>
        </w:tc>
        <w:tc>
          <w:tcPr>
            <w:tcW w:w="44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52"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157.7</w:t>
            </w:r>
            <w:r>
              <w:rPr>
                <w:color w:val="000000"/>
              </w:rPr>
              <w:t> </w:t>
            </w:r>
          </w:p>
        </w:tc>
        <w:tc>
          <w:tcPr>
            <w:tcW w:w="378" w:type="dxa"/>
            <w:tcBorders>
              <w:top w:val="single" w:sz="8" w:space="0" w:color="000000"/>
            </w:tcBorders>
            <w:shd w:fill="E5E5E5"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(45.1)</w:t>
            </w:r>
          </w:p>
        </w:tc>
        <w:tc>
          <w:tcPr>
            <w:tcW w:w="55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Settlement of interest capitalized during construction</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Exar Free Cash Flow from Operations</w:t>
            </w:r>
          </w:p>
        </w:tc>
        <w:tc>
          <w:tcPr>
            <w:tcW w:w="870"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141.1</w:t>
            </w:r>
            <w:r>
              <w:rPr>
                <w:color w:val="000000"/>
              </w:rPr>
              <w:t> </w:t>
            </w:r>
          </w:p>
        </w:tc>
        <w:tc>
          <w:tcPr>
            <w:tcW w:w="435"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(17.4)</w:t>
            </w:r>
          </w:p>
        </w:tc>
        <w:tc>
          <w:tcPr>
            <w:tcW w:w="449"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174.3</w:t>
            </w:r>
            <w:r>
              <w:rPr>
                <w:color w:val="000000"/>
              </w:rPr>
              <w:t> </w:t>
            </w:r>
          </w:p>
        </w:tc>
        <w:tc>
          <w:tcPr>
            <w:tcW w:w="378" w:type="dxa"/>
            <w:tcBorders>
              <w:top w:val="single" w:sz="8" w:space="0" w:color="000000"/>
              <w:bottom w:val="single" w:sz="8" w:space="0" w:color="000000"/>
            </w:tcBorders>
            <w:shd w:fill="E5E5E5"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(45.1)</w:t>
            </w:r>
          </w:p>
        </w:tc>
        <w:tc>
          <w:tcPr>
            <w:tcW w:w="551" w:type="dxa"/>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000000"/>
          <w:sz w:val="15"/>
        </w:rPr>
      </w:pPr>
      <w:r>
        <w:rPr>
          <w:rFonts w:ascii="Arial;sans-serif" w:hAnsi="Arial;sans-serif"/>
          <w:b w:val="false"/>
          <w:i/>
          <w:color w:val="000000"/>
          <w:sz w:val="15"/>
        </w:rPr>
        <w:t>Note: The reconciliation above has been prepared using financial information from Exar’s financial statements, adjusted for certain reclassifications to conform with Lithium Argentina’s presentation. Figures may not sum due to rounding. Exar Free Cash Flow from Operations is presented in addition to, and not in place of, Exar Free Cash Flow.</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rPr>
      </w:pPr>
      <w:r>
        <w:rPr>
          <w:rFonts w:ascii="Arial;sans-serif" w:hAnsi="Arial;sans-serif"/>
          <w:b/>
          <w:i/>
          <w:color w:val="000000"/>
          <w:sz w:val="20"/>
        </w:rPr>
        <w:t>Average realized lithium price</w:t>
      </w:r>
    </w:p>
    <w:p>
      <w:pPr>
        <w:pStyle w:val="TextBody"/>
        <w:bidi w:val="0"/>
        <w:spacing w:before="0" w:after="0"/>
        <w:jc w:val="both"/>
        <w:rPr/>
      </w:pPr>
      <w:r>
        <w:rPr/>
      </w:r>
    </w:p>
    <w:p>
      <w:pPr>
        <w:pStyle w:val="TextBody"/>
        <w:bidi w:val="0"/>
        <w:spacing w:lineRule="auto" w:line="288" w:before="0" w:after="200"/>
        <w:jc w:val="both"/>
        <w:rPr/>
      </w:pPr>
      <w:r>
        <w:rPr>
          <w:rFonts w:ascii="Arial;sans-serif" w:hAnsi="Arial;sans-serif"/>
          <w:b w:val="false"/>
          <w:color w:val="000000"/>
          <w:sz w:val="20"/>
        </w:rPr>
        <w:t xml:space="preserve">Lithium Argentina reports Exar’s </w:t>
      </w:r>
      <w:r>
        <w:rPr>
          <w:rFonts w:ascii="Arial;sans-serif" w:hAnsi="Arial;sans-serif"/>
          <w:b/>
          <w:color w:val="000000"/>
          <w:sz w:val="20"/>
        </w:rPr>
        <w:t>average realized lithium price</w:t>
      </w:r>
      <w:r>
        <w:rPr>
          <w:color w:val="000000"/>
        </w:rPr>
        <w:t xml:space="preserve"> </w:t>
      </w:r>
      <w:r>
        <w:rPr>
          <w:rFonts w:ascii="Arial;sans-serif" w:hAnsi="Arial;sans-serif"/>
          <w:b w:val="false"/>
          <w:color w:val="000000"/>
          <w:sz w:val="20"/>
        </w:rPr>
        <w:t>as a key non-GAAP financial measure. This non-GAAP financial measure does not have a standardized meaning under IFRS and might not be comparable to similar financial measures disclosed by other issuers. Average realized lithium price per tonne is defined as lithium revenue divided by total lithium tonnes sold.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FINANCIAL INSTRUMENTS</w: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Measurement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Financial instruments recorded at fair value on the consolidated statements of financial position and presented in fair value disclosures are classified within a fair value hierarchy that reflects the significance of the inputs used in making the measurements. The fair value hierarchy has the following levels: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1 – Unadjusted quoted prices in active markets for identical assets or liabilities;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2 – Inputs other than quoted prices that are observable for assets or liabilities, either directly or indirectly; and</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Level 3 – Inputs for assets and liabilities that are not based on observable market data.</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fair value hierarchy requires the use of observable market inputs whenever such inputs are available. A financial instrument is classified at the lowest level of the hierarchy for which a significant input has been used in measuring fair value.</w:t>
      </w:r>
    </w:p>
    <w:tbl>
      <w:tblPr>
        <w:tblW w:w="5294" w:type="dxa"/>
        <w:jc w:val="left"/>
        <w:tblInd w:w="0" w:type="dxa"/>
        <w:tblLayout w:type="fixed"/>
        <w:tblCellMar>
          <w:top w:w="28" w:type="dxa"/>
          <w:left w:w="28" w:type="dxa"/>
          <w:bottom w:w="28" w:type="dxa"/>
          <w:right w:w="28" w:type="dxa"/>
        </w:tblCellMar>
      </w:tblPr>
      <w:tblGrid>
        <w:gridCol w:w="1245"/>
        <w:gridCol w:w="1093"/>
        <w:gridCol w:w="1096"/>
        <w:gridCol w:w="543"/>
        <w:gridCol w:w="543"/>
        <w:gridCol w:w="774"/>
      </w:tblGrid>
      <w:tr>
        <w:trPr/>
        <w:tc>
          <w:tcPr>
            <w:tcW w:w="1245"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20" w:space="0" w:color="153A57"/>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20" w:space="0" w:color="153A57"/>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8"/>
              </w:rPr>
            </w:pPr>
            <w:r>
              <w:rPr>
                <w:rFonts w:ascii="Arial;sans-serif" w:hAnsi="Arial;sans-serif"/>
                <w:b/>
                <w:color w:val="000000"/>
                <w:sz w:val="18"/>
              </w:rPr>
              <w:t>Fair value hierarchy</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Financial instruments</w:t>
            </w:r>
          </w:p>
        </w:tc>
        <w:tc>
          <w:tcPr>
            <w:tcW w:w="18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Convertible notes - embedded derivative</w:t>
            </w:r>
          </w:p>
        </w:tc>
        <w:tc>
          <w:tcPr>
            <w:tcW w:w="18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Level 2</w:t>
            </w:r>
          </w:p>
        </w:tc>
      </w:tr>
    </w:tbl>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embedded derivative associated with the Convertible Notes is measured at fair value on a recurring basis and is classified within Level 2, as the valuation is based on observable market inputs, including the Company’s quoted share price, observable volatility, risk-free interest rates and market-derived credit spread. The long-term receivable from JEMSE is not measured at fair value on a recurring basis; however, its fair value is disclosed and classified within Level 3, as it is determined using unobservable inputs, including assumptions regarding the timing of future cash flows of Exar and the applicable discount rate.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financial assets and financial liabilities measured at amortized cost include cash and cash equivalents, receivables from purchasers for lithium carbonate, loans to Exar Capital, other receivables, accounts payable and accrued liabilities, payable to Exar for lithium carbonate purchases, and the debt host component of the Convertible Notes. As at June 30, 2026, the fair value of such financial instruments measured at amortized cost approximated their carrying value.</w:t>
      </w:r>
    </w:p>
    <w:p>
      <w:pPr>
        <w:pStyle w:val="TextBody"/>
        <w:bidi w:val="0"/>
        <w:spacing w:before="0" w:after="0"/>
        <w:jc w:val="right"/>
        <w:rPr/>
      </w:pPr>
      <w:r>
        <w:rPr/>
        <w:drawing>
          <wp:inline distT="0" distB="0" distL="0" distR="0">
            <wp:extent cx="2095500" cy="238125"/>
            <wp:effectExtent l="0" t="0" r="0" b="0"/>
            <wp:docPr id="134"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2" descr=""/>
                    <pic:cNvPicPr>
                      <a:picLocks noChangeAspect="1" noChangeArrowheads="1"/>
                    </pic:cNvPicPr>
                  </pic:nvPicPr>
                  <pic:blipFill>
                    <a:blip r:embed="rId81"/>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16840"/>
                <wp:effectExtent l="0" t="0" r="0" b="0"/>
                <wp:wrapNone/>
                <wp:docPr id="135" name="Frame5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21</w:t>
                      </w:r>
                    </w:p>
                  </w:txbxContent>
                </v:textbox>
                <w10:wrap type="none"/>
              </v:rect>
            </w:pict>
          </mc:Fallback>
        </mc:AlternateContent>
      </w:r>
    </w:p>
    <w:p>
      <w:pPr>
        <w:pStyle w:val="TextBody"/>
        <w:bidi w:val="0"/>
        <w:spacing w:lineRule="auto" w:line="288" w:before="0" w:after="200"/>
        <w:jc w:val="both"/>
        <w:rPr>
          <w:rFonts w:ascii="Arial;sans-serif" w:hAnsi="Arial;sans-serif"/>
          <w:b/>
          <w:color w:val="000000"/>
          <w:sz w:val="20"/>
        </w:rPr>
      </w:pPr>
      <w:r>
        <w:rPr>
          <w:rFonts w:ascii="Arial;sans-serif" w:hAnsi="Arial;sans-serif"/>
          <w:b/>
          <w:color w:val="000000"/>
          <w:sz w:val="20"/>
        </w:rPr>
        <w:t>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manages risks to minimize potential losses. The primary objective of the Company’s risk management process is to ensure that risks are properly identified, monitored and managed, and that the Company maintains an appropriate capital base relative to its risk profile. The principal risks impacting the Company’s financial instruments are credit risk, liquidity risk and market risk.</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Credit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Credit risk refers to the potential for loss due to a counterparty’s inability to meet its financial obligations. The Company’s exposure to credit risk arises primarily from its cash and cash equivalents, receivables from purchasers of lithium carbonate, the long-term receivable from JEMSE, and loans advanced to Exar Capital and Exar.</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limits its exposure to credit losses on cash and cash equivalents by placing funds with major financial institutions and regularly monitoring their creditworthiness. As at June 30, 2026, the Company held its cash and cash equivalents with three financial institutions, enhancing diversification and liquidity management.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actively monitors credit exposure to Exar and Exar Capital, which are related parties involved in the Cauchari-Olaroz Project. Management reviews their financial position regularly and, given the strategic nature of these relationships and the support from project partners, ensures that credit risk on these balances is maintained at acceptable levels.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performed an expected credit loss assessment on its loans to Exar Capital and Exar. Based on this assessment, management concluded that expected credit losses were not significant and, accordingly, no impairment allowance was recognized. The Company also assessed credit risk associated with receivables outstanding at period end and determined that no material impairment was required, as a substantial portion of these receivables was settled subsequent to June 30, 2026.</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Liquidity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Liquidity risk is the risk that the Company will not be able to meet its financial obligations as they become due. The Company’s approach to managing liquidity is to evaluate current and expected funding requirements under both normal and stressed conditions and to maintain sufficient cash and cash equivalent reserves to meet short- and long-term obligations. The Company prepares annual budgets and forecasts, which are reviewed and updated regularly.</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As at June 30, 2026, the Company had cash and cash equivalents of $99.7 million and receivables from purchasers of lithium carbonate of $46.1 million to settle current liabilities of $311.9 million, which include the equity-settleable convertible notes with a carrying value of $248.7 million (face value of $258.8 million) maturing in January 2027. Refer to Liquidity and Going Concern section above which outlines the Company’s current expectation to fund its obligations, including the convertible notes, through available liquidity and other sources.</w:t>
      </w:r>
    </w:p>
    <w:p>
      <w:pPr>
        <w:pStyle w:val="TextBody"/>
        <w:bidi w:val="0"/>
        <w:spacing w:lineRule="auto" w:line="288" w:before="0" w:after="200"/>
        <w:jc w:val="left"/>
        <w:rPr>
          <w:rFonts w:ascii="Arial;sans-serif" w:hAnsi="Arial;sans-serif"/>
          <w:b/>
          <w:i/>
          <w:color w:val="000000"/>
          <w:sz w:val="20"/>
        </w:rPr>
      </w:pPr>
      <w:r>
        <w:rPr>
          <w:rFonts w:ascii="Arial;sans-serif" w:hAnsi="Arial;sans-serif"/>
          <w:b/>
          <w:i/>
          <w:color w:val="000000"/>
          <w:sz w:val="20"/>
        </w:rPr>
        <w:t>Market Risk</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Market risk encompasses various risks, including those related to market prices, share price fluctuations, and currency movements, which can affect the fair values of financial assets and liabilities. The Company is exposed to foreign currency risk, as described below.</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Foreign Currency Risk</w:t>
      </w:r>
    </w:p>
    <w:p>
      <w:pPr>
        <w:pStyle w:val="TextBody"/>
        <w:bidi w:val="0"/>
        <w:spacing w:lineRule="auto" w:line="288" w:before="0" w:after="200"/>
        <w:jc w:val="both"/>
        <w:rPr/>
      </w:pPr>
      <w:r>
        <w:rPr>
          <w:rFonts w:ascii="Arial;sans-serif" w:hAnsi="Arial;sans-serif"/>
          <w:b w:val="false"/>
          <w:color w:val="000000"/>
          <w:sz w:val="20"/>
        </w:rPr>
        <w:t>The Company’s operations in foreign countries are subject to currency fluctuations, which may affect its financial results. The Company and its subsidiaries and associates have a US dollar functional currency, and it incurs expenditures in Canadian dollars (“</w:t>
      </w:r>
      <w:r>
        <w:rPr>
          <w:rFonts w:ascii="Arial;sans-serif" w:hAnsi="Arial;sans-serif"/>
          <w:b/>
          <w:color w:val="000000"/>
          <w:sz w:val="20"/>
        </w:rPr>
        <w:t>CDN$</w:t>
      </w:r>
      <w:r>
        <w:rPr>
          <w:color w:val="000000"/>
        </w:rPr>
        <w:t>”</w:t>
      </w:r>
      <w:r>
        <w:rPr>
          <w:rFonts w:ascii="Arial;sans-serif" w:hAnsi="Arial;sans-serif"/>
          <w:b w:val="false"/>
          <w:color w:val="000000"/>
          <w:sz w:val="20"/>
        </w:rPr>
        <w:t>), Argentine Pesos (“</w:t>
      </w:r>
      <w:r>
        <w:rPr>
          <w:rFonts w:ascii="Arial;sans-serif" w:hAnsi="Arial;sans-serif"/>
          <w:b/>
          <w:color w:val="000000"/>
          <w:sz w:val="20"/>
        </w:rPr>
        <w:t>ARS$</w:t>
      </w:r>
      <w:r>
        <w:rPr>
          <w:color w:val="000000"/>
        </w:rPr>
        <w:t>”</w:t>
      </w:r>
      <w:r>
        <w:rPr>
          <w:rFonts w:ascii="Arial;sans-serif" w:hAnsi="Arial;sans-serif"/>
          <w:b w:val="false"/>
          <w:color w:val="000000"/>
          <w:sz w:val="20"/>
        </w:rPr>
        <w:t>), Swiss francs (“</w:t>
      </w:r>
      <w:r>
        <w:rPr>
          <w:rFonts w:ascii="Arial;sans-serif" w:hAnsi="Arial;sans-serif"/>
          <w:b/>
          <w:color w:val="000000"/>
          <w:sz w:val="20"/>
        </w:rPr>
        <w:t>CHF</w:t>
      </w:r>
      <w:r>
        <w:rPr>
          <w:color w:val="000000"/>
        </w:rPr>
        <w:t>”</w:t>
      </w:r>
      <w:r>
        <w:rPr>
          <w:rFonts w:ascii="Arial;sans-serif" w:hAnsi="Arial;sans-serif"/>
          <w:b w:val="false"/>
          <w:color w:val="000000"/>
          <w:sz w:val="20"/>
        </w:rPr>
        <w:t>) and US$, with the majority of the expenditures being incurred in US$ by the Company’s subsidiaries and investees. As at June 30, 2026, the Company did not hold significant amounts of cash and cash equivalents denominated in CDN$, ARS$, and CHF.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drawing>
          <wp:inline distT="0" distB="0" distL="0" distR="0">
            <wp:extent cx="2095500" cy="238125"/>
            <wp:effectExtent l="0" t="0" r="0" b="0"/>
            <wp:docPr id="13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3" descr=""/>
                    <pic:cNvPicPr>
                      <a:picLocks noChangeAspect="1" noChangeArrowheads="1"/>
                    </pic:cNvPicPr>
                  </pic:nvPicPr>
                  <pic:blipFill>
                    <a:blip r:embed="rId82"/>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16840"/>
                <wp:effectExtent l="0" t="0" r="0" b="0"/>
                <wp:wrapNone/>
                <wp:docPr id="137" name="Frame5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22</w:t>
                      </w:r>
                    </w:p>
                  </w:txbxContent>
                </v:textbox>
                <w10:wrap type="none"/>
              </v:rect>
            </w:pict>
          </mc:Fallback>
        </mc:AlternateContent>
      </w: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ESTIMATION UNCERTAINTY AND ACCOUNTING POLICY JUDGMENTS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Please refer to the Company’s annual MD&amp;A for the year ended December 31, 2025, for Estimation Uncertainty and Accounting Policy Judgments disclosure. The nature and amount of significant estimates and judgements made by management in applying the Company’s accounting policies and the key sources of estimation uncertainty as well as accounting policies applied during the six months ended June 30, 2026, were substantially the same as those that management applied to the consolidated financial statements as at and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NEW IFRS PRONOUNCEMENTS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Amendments to IFRS 9 and IFRS 7 – Amendments to the Classification and Measurement of Financial Instruments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adopted the amendments to IFRS 9 and IFRS 7, Amendments to the Classification and Measurement of Financial Instruments effective January 1, 2026. These amendments clarified the recognition and derecognition date of certain financial assets and liabilities, and amended the requirements related to settling financial liabilities using an electronic payment system. It also clarified how to assess the contractual cash flow characteristics of financial assets in determining whether they meet the solely payments of principal and interest criterion, including financial assets that have environmental, social and corporate governance (ESG)-linked features and other similar contingent features. These amendments require additional disclosures for financial instruments with contingent features that do not relate directly to basic lending risks and costs and amended disclosures relating to equity instruments designated at fair value through other comprehensive income.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Upon adoption, the Company applied the optional exemption permitting derecognition of financial liabilities settled through qualifying electronic payment systems at the date the payment instruction is released, rather than the settlement date. Management assessed the Company’s payment processes and determined that the criteria for application of this exemption are met.</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adoption of these amendments did not have a material impact on the Company’s condensed consolidated interim financial statements and did not result in any significant changes to the classification or measurement of financial instruments.</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IFRS 18 Presentation and Disclosure in Financial Statements</w:t>
      </w:r>
    </w:p>
    <w:p>
      <w:pPr>
        <w:pStyle w:val="TextBody"/>
        <w:bidi w:val="0"/>
        <w:spacing w:lineRule="auto" w:line="288" w:before="0" w:after="200"/>
        <w:jc w:val="both"/>
        <w:rPr/>
      </w:pPr>
      <w:r>
        <w:rPr>
          <w:rFonts w:ascii="Arial;sans-serif" w:hAnsi="Arial;sans-serif"/>
          <w:b w:val="false"/>
          <w:color w:val="000000"/>
          <w:sz w:val="20"/>
        </w:rPr>
        <w:t>In April 2024, the International Accounting Standards Board (“</w:t>
      </w:r>
      <w:r>
        <w:rPr>
          <w:rFonts w:ascii="Arial;sans-serif" w:hAnsi="Arial;sans-serif"/>
          <w:b/>
          <w:color w:val="000000"/>
          <w:sz w:val="20"/>
        </w:rPr>
        <w:t>IASB</w:t>
      </w:r>
      <w:r>
        <w:rPr>
          <w:color w:val="000000"/>
        </w:rPr>
        <w:t>”</w:t>
      </w:r>
      <w:r>
        <w:rPr>
          <w:rFonts w:ascii="Arial;sans-serif" w:hAnsi="Arial;sans-serif"/>
          <w:b w:val="false"/>
          <w:color w:val="000000"/>
          <w:sz w:val="20"/>
        </w:rPr>
        <w:t xml:space="preserve">) issued IFRS 18, </w:t>
      </w:r>
      <w:r>
        <w:rPr>
          <w:rFonts w:ascii="Arial;sans-serif" w:hAnsi="Arial;sans-serif"/>
          <w:b w:val="false"/>
          <w:i/>
          <w:color w:val="000000"/>
          <w:sz w:val="20"/>
        </w:rPr>
        <w:t xml:space="preserve">Presentation and Disclosure in Financial Statements </w:t>
      </w:r>
      <w:r>
        <w:rPr>
          <w:rFonts w:ascii="Arial;sans-serif" w:hAnsi="Arial;sans-serif"/>
          <w:b w:val="false"/>
          <w:color w:val="000000"/>
          <w:sz w:val="20"/>
        </w:rPr>
        <w:t xml:space="preserve">which will replace IAS 1, </w:t>
      </w:r>
      <w:r>
        <w:rPr>
          <w:rFonts w:ascii="Arial;sans-serif" w:hAnsi="Arial;sans-serif"/>
          <w:b w:val="false"/>
          <w:i/>
          <w:color w:val="000000"/>
          <w:sz w:val="20"/>
        </w:rPr>
        <w:t>Presentation of Financial Statements</w:t>
      </w:r>
      <w:r>
        <w:rPr>
          <w:rFonts w:ascii="Arial;sans-serif" w:hAnsi="Arial;sans-serif"/>
          <w:b w:val="false"/>
          <w:color w:val="000000"/>
          <w:sz w:val="20"/>
        </w:rPr>
        <w:t>. IFRS 18 introduces new requirements on presentation within the statement of profit or loss, including specified totals and subtotals.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It also requires disclosure of management-defined performance measures and includes new requirements for aggregation and disaggregation of financial information based on the identified ‘roles’ of the primary financial statements and the notes.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addition, there are consequential amendments to other accounting standards; some requirements previously included in IAS 1 have been moved to IAS 8 and limited amendments have been made to IAS 7 and IAS 34. IFRS 18 is effective for the reporting period beginning on or after January 1, 2027, with early application permitted. Retrospective application is required in both annual and interim financial statements. The Company is currently assessing the impact of this standard on its financial statements and has not yet applied it.</w:t>
      </w:r>
    </w:p>
    <w:p>
      <w:pPr>
        <w:pStyle w:val="TextBody"/>
        <w:bidi w:val="0"/>
        <w:spacing w:lineRule="auto" w:line="288" w:before="0" w:after="200"/>
        <w:jc w:val="both"/>
        <w:rPr>
          <w:rFonts w:ascii="Arial;sans-serif" w:hAnsi="Arial;sans-serif"/>
          <w:b/>
          <w:i/>
          <w:color w:val="000000"/>
          <w:sz w:val="20"/>
        </w:rPr>
      </w:pPr>
      <w:r>
        <w:rPr>
          <w:rFonts w:ascii="Arial;sans-serif" w:hAnsi="Arial;sans-serif"/>
          <w:b/>
          <w:i/>
          <w:color w:val="000000"/>
          <w:sz w:val="20"/>
        </w:rPr>
        <w:t>Amendments to IAS 28 – Fair Value Option for Investments in Associates and Joint Ventures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June 2026, IASB issued amendments to IAS 28, Investments in Associates and Joint Ventures, which clarify the application of the fair value option for investments in associates and joint ventures. The amendments specify which entities are eligible to elect to measure such investments at fair value through profit or loss, thereby providing additional guidance on the scope and application of this option.</w:t>
      </w:r>
    </w:p>
    <w:p>
      <w:pPr>
        <w:pStyle w:val="TextBody"/>
        <w:bidi w:val="0"/>
        <w:spacing w:before="0" w:after="0"/>
        <w:jc w:val="right"/>
        <w:rPr/>
      </w:pPr>
      <w:r>
        <w:rPr/>
        <w:drawing>
          <wp:inline distT="0" distB="0" distL="0" distR="0">
            <wp:extent cx="2095500" cy="238125"/>
            <wp:effectExtent l="0" t="0" r="0" b="0"/>
            <wp:docPr id="138"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54" descr=""/>
                    <pic:cNvPicPr>
                      <a:picLocks noChangeAspect="1" noChangeArrowheads="1"/>
                    </pic:cNvPicPr>
                  </pic:nvPicPr>
                  <pic:blipFill>
                    <a:blip r:embed="rId83"/>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16840"/>
                <wp:effectExtent l="0" t="0" r="0" b="0"/>
                <wp:wrapNone/>
                <wp:docPr id="139" name="Frame5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23</w:t>
                      </w:r>
                    </w:p>
                  </w:txbxContent>
                </v:textbox>
                <w10:wrap type="none"/>
              </v:rect>
            </w:pict>
          </mc:Fallback>
        </mc:AlternateContent>
      </w:r>
    </w:p>
    <w:p>
      <w:pPr>
        <w:pStyle w:val="TextBody"/>
        <w:bidi w:val="0"/>
        <w:spacing w:lineRule="auto" w:line="288" w:before="0" w:after="200"/>
        <w:jc w:val="both"/>
        <w:rPr/>
      </w:pPr>
      <w:r>
        <w:rPr>
          <w:rFonts w:ascii="Arial;sans-serif" w:hAnsi="Arial;sans-serif"/>
          <w:b w:val="false"/>
          <w:color w:val="000000"/>
          <w:sz w:val="20"/>
        </w:rPr>
        <w:t xml:space="preserve">The amendments are effective for annual reporting periods beginning on or after January 1, 2027, and are to be applied when an entity first applies IFRS 18, </w:t>
      </w:r>
      <w:r>
        <w:rPr>
          <w:rFonts w:ascii="Arial;sans-serif" w:hAnsi="Arial;sans-serif"/>
          <w:b w:val="false"/>
          <w:i/>
          <w:color w:val="000000"/>
          <w:sz w:val="20"/>
        </w:rPr>
        <w:t>Presentation and Disclosure in Financial Statements</w:t>
      </w:r>
      <w:r>
        <w:rPr>
          <w:rFonts w:ascii="Arial;sans-serif" w:hAnsi="Arial;sans-serif"/>
          <w:b w:val="false"/>
          <w:color w:val="000000"/>
          <w:sz w:val="20"/>
        </w:rPr>
        <w:t>. Early application is permitted if IFRS 18 is adopted early. The Company is currently assessing the impact of these amendments on its financial statements and has not yet applied them.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TECHNICAL INFORMATION AND QUALIFIED PERSON</w:t>
      </w:r>
    </w:p>
    <w:p>
      <w:pPr>
        <w:pStyle w:val="TextBody"/>
        <w:bidi w:val="0"/>
        <w:spacing w:lineRule="auto" w:line="288" w:before="0" w:after="200"/>
        <w:jc w:val="both"/>
        <w:rPr/>
      </w:pPr>
      <w:r>
        <w:rPr>
          <w:rFonts w:ascii="Arial;sans-serif" w:hAnsi="Arial;sans-serif"/>
          <w:b w:val="false"/>
          <w:color w:val="000000"/>
          <w:sz w:val="20"/>
        </w:rPr>
        <w:t>The Scoping Study for PPG was prepared by James Wang of Golder and Frederik Reidel from Atacama Water, a “qualified persons” (“</w:t>
      </w:r>
      <w:r>
        <w:rPr>
          <w:rFonts w:ascii="Arial;sans-serif" w:hAnsi="Arial;sans-serif"/>
          <w:b/>
          <w:color w:val="000000"/>
          <w:sz w:val="20"/>
        </w:rPr>
        <w:t>QPs</w:t>
      </w:r>
      <w:r>
        <w:rPr>
          <w:color w:val="000000"/>
        </w:rPr>
        <w:t>”</w:t>
      </w:r>
      <w:r>
        <w:rPr>
          <w:rFonts w:ascii="Arial;sans-serif" w:hAnsi="Arial;sans-serif"/>
          <w:b w:val="false"/>
          <w:color w:val="000000"/>
          <w:sz w:val="20"/>
        </w:rPr>
        <w:t>) as defined by National Instrument 43-101 – Standards of Disclosure for Mineral Projects and Subpart 1300 of Regulation S-K by virtue of their experience, education, and professional association, and their independence from the Company.</w:t>
      </w:r>
    </w:p>
    <w:p>
      <w:pPr>
        <w:pStyle w:val="TextBody"/>
        <w:bidi w:val="0"/>
        <w:spacing w:lineRule="auto" w:line="288" w:before="0" w:after="200"/>
        <w:jc w:val="both"/>
        <w:rPr/>
      </w:pPr>
      <w:r>
        <w:rPr>
          <w:rFonts w:ascii="Arial;sans-serif" w:hAnsi="Arial;sans-serif"/>
          <w:b w:val="false"/>
          <w:color w:val="000000"/>
          <w:sz w:val="20"/>
        </w:rPr>
        <w:t>The scientific and technical information in this MD&amp;A in respect of PPG has been reviewed and approved by the independent qualified persons (“</w:t>
      </w:r>
      <w:r>
        <w:rPr>
          <w:rFonts w:ascii="Arial;sans-serif" w:hAnsi="Arial;sans-serif"/>
          <w:b/>
          <w:color w:val="000000"/>
          <w:sz w:val="20"/>
        </w:rPr>
        <w:t>QPs</w:t>
      </w:r>
      <w:r>
        <w:rPr>
          <w:color w:val="000000"/>
        </w:rPr>
        <w:t>”</w:t>
      </w:r>
      <w:r>
        <w:rPr>
          <w:rFonts w:ascii="Arial;sans-serif" w:hAnsi="Arial;sans-serif"/>
          <w:b w:val="false"/>
          <w:color w:val="000000"/>
          <w:sz w:val="20"/>
        </w:rPr>
        <w:t>) listed below, each of whom is a “qualified person” as defined in NI 43-101.</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James Wang, P.E., Director, Golder.</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Frederik Reidel, Managing Director, Atacama Water SpA.</w:t>
      </w:r>
    </w:p>
    <w:p>
      <w:pPr>
        <w:pStyle w:val="TextBody"/>
        <w:bidi w:val="0"/>
        <w:spacing w:lineRule="auto" w:line="288" w:before="0" w:after="200"/>
        <w:jc w:val="both"/>
        <w:rPr/>
      </w:pPr>
      <w:r>
        <w:rPr>
          <w:rFonts w:ascii="Arial;sans-serif" w:hAnsi="Arial;sans-serif"/>
          <w:b w:val="false"/>
          <w:color w:val="000000"/>
          <w:sz w:val="20"/>
        </w:rPr>
        <w:t xml:space="preserve">Dr. Mark King was engaged as qualified person to prepare the 2026 Mineral Resource Estimate and 2026 Mineral Reserve Estimate, including the mineral resource and reserve estimation in brine for the Project in accordance with the guidelines for lithium brines set forth by the Canadian Institute of Mining, Metallurgy and Petroleum (CIM 2012), National Instrument 43-101 – </w:t>
      </w:r>
      <w:r>
        <w:rPr>
          <w:rFonts w:ascii="Arial;sans-serif" w:hAnsi="Arial;sans-serif"/>
          <w:b w:val="false"/>
          <w:i/>
          <w:color w:val="000000"/>
          <w:sz w:val="20"/>
        </w:rPr>
        <w:t>Standards of Disclosure for Mineral Projects</w:t>
      </w:r>
      <w:r>
        <w:rPr>
          <w:color w:val="000000"/>
        </w:rPr>
        <w:t xml:space="preserve"> </w:t>
      </w:r>
      <w:r>
        <w:rPr>
          <w:rFonts w:ascii="Arial;sans-serif" w:hAnsi="Arial;sans-serif"/>
          <w:b w:val="false"/>
          <w:color w:val="000000"/>
          <w:sz w:val="20"/>
        </w:rPr>
        <w:t>(“</w:t>
      </w:r>
      <w:r>
        <w:rPr>
          <w:rFonts w:ascii="Arial;sans-serif" w:hAnsi="Arial;sans-serif"/>
          <w:b/>
          <w:color w:val="000000"/>
          <w:sz w:val="20"/>
        </w:rPr>
        <w:t>NI 43-101</w:t>
      </w:r>
      <w:r>
        <w:rPr>
          <w:color w:val="000000"/>
        </w:rPr>
        <w:t>”</w:t>
      </w:r>
      <w:r>
        <w:rPr>
          <w:rFonts w:ascii="Arial;sans-serif" w:hAnsi="Arial;sans-serif"/>
          <w:b w:val="false"/>
          <w:color w:val="000000"/>
          <w:sz w:val="20"/>
        </w:rPr>
        <w:t>) and SK-1300.</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scientific and technical information in this MD&amp;A in respect to the Updated Estimate has been reviewed and approved by the independent QPs listed below, each of whom is a “qualified person” as defined in NI 43-101.</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David Burga, P.Geo.</w:t>
      </w:r>
    </w:p>
    <w:p>
      <w:pPr>
        <w:pStyle w:val="TextBody"/>
        <w:bidi w:val="0"/>
        <w:spacing w:lineRule="auto" w:line="288" w:before="0" w:after="200"/>
        <w:ind w:left="0" w:right="0" w:hanging="360"/>
        <w:jc w:val="left"/>
        <w:rPr/>
      </w:pPr>
      <w:r>
        <w:rPr>
          <w:color w:val="000000"/>
        </w:rPr>
        <w:t>▪</w:t>
      </w:r>
      <w:r>
        <w:rPr>
          <w:rFonts w:ascii="Arial;sans-serif" w:hAnsi="Arial;sans-serif"/>
          <w:b w:val="false"/>
          <w:color w:val="000000"/>
          <w:sz w:val="20"/>
        </w:rPr>
        <w:t>Mark King, PhD P.Geo., FGC</w:t>
      </w:r>
    </w:p>
    <w:p>
      <w:pPr>
        <w:pStyle w:val="TextBody"/>
        <w:bidi w:val="0"/>
        <w:spacing w:lineRule="auto" w:line="288" w:before="0" w:after="200"/>
        <w:jc w:val="both"/>
        <w:rPr/>
      </w:pPr>
      <w:r>
        <w:rPr>
          <w:rFonts w:ascii="Arial;sans-serif" w:hAnsi="Arial;sans-serif"/>
          <w:b w:val="false"/>
          <w:color w:val="000000"/>
          <w:sz w:val="20"/>
        </w:rPr>
        <w:t xml:space="preserve">The scientific and technical information in this MD&amp;A in respect of Cauchari-Olaroz has been reviewed and approved by David Burga, P.Geo., a “qualified person” as defined by National Instrument 43-101 – </w:t>
      </w:r>
      <w:r>
        <w:rPr>
          <w:rFonts w:ascii="Arial;sans-serif" w:hAnsi="Arial;sans-serif"/>
          <w:b w:val="false"/>
          <w:i/>
          <w:color w:val="000000"/>
          <w:sz w:val="20"/>
        </w:rPr>
        <w:t>Standards of Disclosure for Mineral Projects</w:t>
      </w:r>
      <w:r>
        <w:rPr>
          <w:color w:val="000000"/>
        </w:rPr>
        <w:t xml:space="preserve"> </w:t>
      </w:r>
      <w:r>
        <w:rPr>
          <w:rFonts w:ascii="Arial;sans-serif" w:hAnsi="Arial;sans-serif"/>
          <w:b w:val="false"/>
          <w:color w:val="000000"/>
          <w:sz w:val="20"/>
        </w:rPr>
        <w:t>and Subpart 1300 of Regulation S-K by virtue of his experience, education, and professional association, and his independence from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DISCLOSURE CONTROLS AND PROCEDURES</w:t>
      </w:r>
    </w:p>
    <w:p>
      <w:pPr>
        <w:pStyle w:val="TextBody"/>
        <w:bidi w:val="0"/>
        <w:spacing w:lineRule="auto" w:line="288" w:before="0" w:after="200"/>
        <w:jc w:val="both"/>
        <w:rPr/>
      </w:pPr>
      <w:r>
        <w:rPr>
          <w:rFonts w:ascii="Arial;sans-serif" w:hAnsi="Arial;sans-serif"/>
          <w:b w:val="false"/>
          <w:color w:val="000000"/>
          <w:sz w:val="20"/>
        </w:rPr>
        <w:t>Disclosure controls and procedures are designed to provide reasonable assurance that information required to be disclosed in reports filed or submitted by us under U.S. and Canadian securities legislation is recorded, processed, summarized and reported within the time periods specified in those rules, and include controls and procedures designed to ensure that information required to be disclosed in reports filed or submitted by us under U.S. and Canadian securities legislation is accumulated and communicated to management, including the Company’s Chief Executive Officer (“</w:t>
      </w:r>
      <w:r>
        <w:rPr>
          <w:rFonts w:ascii="Arial;sans-serif" w:hAnsi="Arial;sans-serif"/>
          <w:b/>
          <w:color w:val="000000"/>
          <w:sz w:val="20"/>
        </w:rPr>
        <w:t>CEO</w:t>
      </w:r>
      <w:r>
        <w:rPr>
          <w:color w:val="000000"/>
        </w:rPr>
        <w:t>”</w:t>
      </w:r>
      <w:r>
        <w:rPr>
          <w:rFonts w:ascii="Arial;sans-serif" w:hAnsi="Arial;sans-serif"/>
          <w:b w:val="false"/>
          <w:color w:val="000000"/>
          <w:sz w:val="20"/>
        </w:rPr>
        <w:t>) and Chief Financial Officer (“</w:t>
      </w:r>
      <w:r>
        <w:rPr>
          <w:rFonts w:ascii="Arial;sans-serif" w:hAnsi="Arial;sans-serif"/>
          <w:b/>
          <w:color w:val="000000"/>
          <w:sz w:val="20"/>
        </w:rPr>
        <w:t>CFO</w:t>
      </w:r>
      <w:r>
        <w:rPr>
          <w:color w:val="000000"/>
        </w:rPr>
        <w:t>”</w:t>
      </w:r>
      <w:r>
        <w:rPr>
          <w:rFonts w:ascii="Arial;sans-serif" w:hAnsi="Arial;sans-serif"/>
          <w:b w:val="false"/>
          <w:color w:val="000000"/>
          <w:sz w:val="20"/>
        </w:rPr>
        <w:t>), as appropriate, to permit timely decisions regarding required disclosure. Management, including the CEO and CFO, has evaluated the effectiveness of the design and operation of our disclosure controls and procedures, as defined in the rules of the SEC and the Canadian Securities Administrators, as at June 30, 2026. Based on this evaluation, the CEO and CFO have concluded that our disclosure controls and procedures were effective as at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MANAGEMENT'S REPORT ON INTERNAL CONTROL OVER FINANCIAL REPORTING</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Company’s management, including the CEO and CFO, is responsible for establishing and maintaining adequate internal control over financial reporting. Any system of internal control over financial reporting, no matter how well-designed, has inherent limitations. Therefore, even those systems determined to be effective can provide only reasonable assurance with respect to financial statement preparation and presentation. There have been no significant changes in our internal controls over financial reporting during the six months ended June 30, 2026, that have materially affected, or are reasonably likely to materially affect, the Company’s internal control over financial reporting.</w:t>
      </w:r>
    </w:p>
    <w:p>
      <w:pPr>
        <w:pStyle w:val="TextBody"/>
        <w:bidi w:val="0"/>
        <w:spacing w:before="0" w:after="0"/>
        <w:jc w:val="right"/>
        <w:rPr/>
      </w:pPr>
      <w:r>
        <w:rPr/>
        <w:drawing>
          <wp:inline distT="0" distB="0" distL="0" distR="0">
            <wp:extent cx="2095500" cy="238125"/>
            <wp:effectExtent l="0" t="0" r="0" b="0"/>
            <wp:docPr id="14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5" descr=""/>
                    <pic:cNvPicPr>
                      <a:picLocks noChangeAspect="1" noChangeArrowheads="1"/>
                    </pic:cNvPicPr>
                  </pic:nvPicPr>
                  <pic:blipFill>
                    <a:blip r:embed="rId84"/>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16840"/>
                <wp:effectExtent l="0" t="0" r="0" b="0"/>
                <wp:wrapNone/>
                <wp:docPr id="141" name="Frame5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24</w:t>
                      </w:r>
                    </w:p>
                  </w:txbxContent>
                </v:textbox>
                <w10:wrap type="none"/>
              </v:rect>
            </w:pict>
          </mc:Fallback>
        </mc:AlternateConten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Management, including the CEO and CFO, has used the Committee of Sponsoring Organizations of the Treadway Commission (COSO) 2013 framework to evaluate the effectiveness of our internal control over financial reporting. Based on this assessment, the Company’s management, including the CEO and CFO, has concluded that as at June 30, 2026, the Company’s internal control over financial reporting was effective.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effectiveness of our internal controls over financial reporting has been audited by PricewaterhouseCoopers LLP, an independent registered public accounting firm, which has expressed its opinion in its report included with our annual consolidated financial statements for the financial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Arial;sans-serif" w:hAnsi="Arial;sans-serif"/>
          <w:b/>
          <w:color w:val="153A57"/>
          <w:sz w:val="20"/>
        </w:rPr>
      </w:pPr>
      <w:r>
        <w:rPr>
          <w:rFonts w:ascii="Arial;sans-serif" w:hAnsi="Arial;sans-serif"/>
          <w:b/>
          <w:color w:val="153A57"/>
          <w:sz w:val="20"/>
        </w:rPr>
        <w:t>FORWARD-LOOKING STATEMENTS</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This MD&amp;A contains “forward-looking information” within the meaning of applicable Canadian securities legislation and “forward-looking statements” within the meaning of the United States Private Securities Litigation Reform Act of 1995 (collectively referred to herein as “forward-looking information”). These statements relate to future events or the Company’s future performance. All statements, other than statements of historical fact, may be forward-looking information. Forward-looking information generally can be identified by the use of words such as “seek,” “anticipate,” “plan,” “continue,” “estimate,” “expect,” “may,” “will,” “project,” “predict,” “propose,” “potential,” “targeting,” “intend,” “could,” “might,” “should,” “believe” and similar expressions. These statements involve known and unknown risks, uncertainties and other factors that may cause actual results or events to differ materially from those anticipated in such forward-looking information.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In particular, this MD&amp;A contains forward-looking information, including, without limitation, with respect to the following matters or the Company’s expectations relating to such matters; our guidance, expected financial results and condition of the Company; the Company's future objectives and strategies to achieve those objectives, expected production for Cauchari-Olaroz; operation of Cauchari-Olaroz, including timing, approach, continuity or change in plans, construction, commissioning, milestones, anticipated production and results thereof and expansion plans; the implementation of DLE technology at Cauchari-Olaroz; expected remaining funding commitments at the Cauchari-Olaroz Operation; expected timing of full capacity production at Cauchari-Olaroz and plans for additional production capacity; publication of the Stage 2 development plan; Stage 2 targeted production capacity; estimates, and any change in estimates, of the Mineral Resources and Mineral Reserves at the Company’s properties; development of Mineral Resources and Mineral Reserves; government regulation of mining operations and treatment under governmental and taxation regimes; the future price of commodities, including lithium; the realization of Mineral Resources and Mineral Reserves estimates, including whether Mineral Resources that are not included in Mineral Reserves will ever be developed into Mineral Reserves, and information and underlying assumptions related thereto; the timing and amount of future production; expectations with respect to costs of production; liquidity outlook; use of proceeds from financing activities; currency exchange and interest rates; the Company’s expectations with respect to meeting its funding obligations through its financing plans; expectations with respect to the sufficiency of current cash balances and other sources to fund planned expenditures; the Company’s ability to raise capital and the sufficiency of currently available funding; expected expenditures to be made by the Company on its properties; the timing, cost, quantity, capacity and product quality of production of the Cauchari-Olaroz Operation; successful operation of Cauchari-Olaroz under its co-ownership structure; ability to produce battery quality lithium products; the Company’s share of the expected capital expenditures for the construction of Cauchari-Olaroz; the formation of a New JV, including expectations regarding its advancement and benefits, the targeted production capacity, and the potential production of lithium chloride; the results of the Scoping Study, including, without limitation, expected mine life, production, capital and operating costs, IRR, NPV and other economic and operating parameters of PPG; financing of the New JV and development of PPG ability to achieve capital cost efficiencies; stability and inflation related to the Argentine peso, matters relating to the agreement reached by the Argentine government with the International Monetary Fund in respect of Argentina’s external debt, whether the Argentine government implements additional foreign exchange and capital controls, and the effect of current or any additional regulations on the Company’s operations; and opportunities for regional growth and development of the Pastos Grandes basin expected from the acquisition.</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Forward-looking information does not take into account the effect of transactions or other items announced or occurring after the statements are made. Forward-looking information contained in this MD&amp;A is based upon a number of expectations and assumptions and is subject to a number of risks and uncertainties, many of which are beyond the Company’s control, that could cause actual results to differ materially from those that are disclosed in or implied by such forward-looking information. With respect to forward-looking information listed above, the Company has made assumptions regarding, among other things:</w:t>
      </w:r>
    </w:p>
    <w:p>
      <w:pPr>
        <w:pStyle w:val="TextBody"/>
        <w:bidi w:val="0"/>
        <w:spacing w:before="0" w:after="0"/>
        <w:jc w:val="right"/>
        <w:rPr/>
      </w:pPr>
      <w:r>
        <w:rPr/>
        <w:drawing>
          <wp:inline distT="0" distB="0" distL="0" distR="0">
            <wp:extent cx="2095500" cy="238125"/>
            <wp:effectExtent l="0" t="0" r="0" b="0"/>
            <wp:docPr id="14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6" descr=""/>
                    <pic:cNvPicPr>
                      <a:picLocks noChangeAspect="1" noChangeArrowheads="1"/>
                    </pic:cNvPicPr>
                  </pic:nvPicPr>
                  <pic:blipFill>
                    <a:blip r:embed="rId85"/>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16840"/>
                <wp:effectExtent l="0" t="0" r="0" b="0"/>
                <wp:wrapNone/>
                <wp:docPr id="143" name="Frame5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current technological trends;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 cordial business relationship between the Company and third party strategic and contractual partners, including the co-owners of the Company’s projects;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ability of the Company to fund, advance and develop Cauchari-Olaroz and its other projects, and expected production and the timing thereof at Cauchari-Olaroz;</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ability of the Company to fund, advance and develop PPG;</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successful operation of Cauchari-Olaroz under its co-ownership structure;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ability of the Company to produce battery quality lithium products;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Company’s ability to operate in a safe and effective manner;</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uncertainties relating to receiving and maintaining mining, exploration, environmental and other permits or approvals in Argentina;</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demand for lithium, including that such demand is supported by growth in the electric vehicle market;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impact of increasing competition in the lithium business, and the Company’s competitive position in the industry;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general economic, geopolitical, and political conditions;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stable and supportive legislative, regulatory and community environment in the jurisdictions where the Company operates;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regulatory, and political matters that may influence or be influenced by future events or conditions;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local and global political and economic conditions;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governmental and regulatory requirements and actions by governmental authorities, including changes in government policies;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stability and inflation of the Argentine Peso, including any foreign exchange or capital controls which may be enacted in respect thereof, and the effect of current or any additional regulations on the Company’s operations;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impact of unknown financial contingencies, including litigation costs, on the Company’s operations;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gains or losses, in each case, if any, from short-term investments in Argentine bonds and equities;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estimates of and unpredictable changes to the market prices for lithium products;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development and ramp up costs for the Cauchari-Olaroz operation, and costs for any additional exploration work at the operation;</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uncertainties inherent to estimates of Mineral Resources and Mineral Reserves, including whether Mineral Resources not included in Mineral Reserves will be further developed into Mineral Reserves;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reliability of technical data;</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anticipated timing and results of exploration, development and construction activities;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discretion in the use of proceeds of certain financing activities; the Company’s ability to obtain additional financing on satisfactory terms or at all;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ability to develop and achieve production at any of the Company’s mineral exploration and development properties;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the impacts of pandemics and geopolitical issues on the Company’s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 xml:space="preserve">the impact of inflation and other economic conditions on the Company’s business and global markets; </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20"/>
        </w:rPr>
        <w:t>ability to repay or refinance debt as it comes due; and</w:t>
      </w:r>
    </w:p>
    <w:p>
      <w:pPr>
        <w:pStyle w:val="TextBody"/>
        <w:bidi w:val="0"/>
        <w:spacing w:lineRule="auto" w:line="288" w:before="0" w:after="200"/>
        <w:ind w:left="0" w:right="0" w:hanging="360"/>
        <w:jc w:val="both"/>
        <w:rPr/>
      </w:pPr>
      <w:r>
        <w:rPr>
          <w:color w:val="000000"/>
        </w:rPr>
        <w:t>▪</w:t>
      </w:r>
      <w:r>
        <w:rPr>
          <w:rFonts w:ascii="Arial;sans-serif" w:hAnsi="Arial;sans-serif"/>
          <w:b w:val="false"/>
          <w:color w:val="000000"/>
          <w:sz w:val="20"/>
        </w:rPr>
        <w:t>accuracy of development budget and construction estimates.</w:t>
      </w:r>
    </w:p>
    <w:p>
      <w:pPr>
        <w:pStyle w:val="TextBody"/>
        <w:bidi w:val="0"/>
        <w:spacing w:before="0" w:after="200"/>
        <w:jc w:val="both"/>
        <w:rPr/>
      </w:pPr>
      <w:r>
        <w:rPr/>
      </w:r>
    </w:p>
    <w:p>
      <w:pPr>
        <w:pStyle w:val="TextBody"/>
        <w:bidi w:val="0"/>
        <w:spacing w:before="0" w:after="0"/>
        <w:jc w:val="right"/>
        <w:rPr/>
      </w:pPr>
      <w:r>
        <w:rPr/>
        <w:drawing>
          <wp:inline distT="0" distB="0" distL="0" distR="0">
            <wp:extent cx="2095500" cy="238125"/>
            <wp:effectExtent l="0" t="0" r="0" b="0"/>
            <wp:docPr id="144"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7" descr=""/>
                    <pic:cNvPicPr>
                      <a:picLocks noChangeAspect="1" noChangeArrowheads="1"/>
                    </pic:cNvPicPr>
                  </pic:nvPicPr>
                  <pic:blipFill>
                    <a:blip r:embed="rId86"/>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16840"/>
                <wp:effectExtent l="0" t="0" r="0" b="0"/>
                <wp:wrapNone/>
                <wp:docPr id="145" name="Frame6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26</w:t>
                      </w:r>
                    </w:p>
                  </w:txbxContent>
                </v:textbox>
                <w10:wrap type="none"/>
              </v:rect>
            </w:pict>
          </mc:Fallback>
        </mc:AlternateContent>
      </w:r>
    </w:p>
    <w:p>
      <w:pPr>
        <w:pStyle w:val="TextBody"/>
        <w:bidi w:val="0"/>
        <w:spacing w:lineRule="auto" w:line="288" w:before="0" w:after="200"/>
        <w:jc w:val="both"/>
        <w:rPr/>
      </w:pPr>
      <w:r>
        <w:rPr>
          <w:rFonts w:ascii="Arial;sans-serif" w:hAnsi="Arial;sans-serif"/>
          <w:b w:val="false"/>
          <w:color w:val="000000"/>
          <w:sz w:val="20"/>
        </w:rPr>
        <w:t xml:space="preserve">Many of these expectations, assumptions, risk and uncertainties are beyond the Company’s control and could cause actual results to differ materially from those that are disclosed in or implied by such forward-looking information. Although the Company believes that the assumptions and expectations reflected in such forward-looking information are reasonable, the Company can give no assurance that these assumptions and expectations will prove to be correct. Since forward-looking information inherently involves risks and uncertainties, undue reliance should not be placed on such information. The Company’s actual results could differ materially from those anticipated in any forward-looking information as a result of the risk factors set out herein and, in the Company’s Form 20-F and other filings, which are available on the Company’s website at www.lithium-argentina.com, on SEDAR+ at www.sedarplus.ca and on EDGAR at </w:t>
      </w:r>
      <w:r>
        <w:rPr>
          <w:rFonts w:ascii="Arial;sans-serif" w:hAnsi="Arial;sans-serif"/>
          <w:b w:val="false"/>
          <w:color w:val="0000FF"/>
          <w:sz w:val="20"/>
          <w:u w:val="single"/>
        </w:rPr>
        <w:t>www.sec.gov</w:t>
      </w:r>
      <w:r>
        <w:rPr>
          <w:rFonts w:ascii="Arial;sans-serif" w:hAnsi="Arial;sans-serif"/>
          <w:b w:val="false"/>
          <w:color w:val="000000"/>
          <w:sz w:val="20"/>
        </w:rPr>
        <w:t>.</w:t>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 xml:space="preserve">All forward-looking information contained in this MD&amp;A is expressly qualified by the risk factors set out in the latest Form 20-F, this MD&amp;A and other public filings. Such risks include, but are not limited to the following: the Company’s mineral properties, or the mineral properties in which it has an interest, may not be developed or operate as planned and uncertainty of whether there will ever be production at the Company’s mineral exploration properties, or the properties in which it has an interest; cost overruns; risks associated with the Company’s ability to successfully secure adequate additional funding; market prices affecting the ability to develop or operate the Company's mineral properties and properties in which it has an interest; risks associated with co-ownership and/or joint venture arrangements; risks related to acquisitions, integration and dispositions; risk to the growth of lithium markets; lithium prices; inability to obtain required governmental permits and government-imposed limitations on operations; technology risk; inability to achieve and manage expected growth; political risk associated with foreign operations, including co-ownership arrangements with foreign domiciled partners; risks arising from the outbreak of or continued hostilities in Ukraine, the Middle East and other parts of the world and the international response, including but not limited to their impact on commodity markets, fuel prices, supply chains, equipment and construction prices and on capital markets in general; emerging and developing market risks; risks relating to tariff wars, including but not limited to their impact on capital markets, interest rates, the availability of financing, commodity markets, supply chains, equipment and construction prices; risks associated with not having production experience; operational risks; changes in government regulations; changes to environmental requirements; failure to obtain or maintain necessary licenses, permits or approvals; insurance risk; receipt and security of mineral property titles and mineral tenure risk; changes in project parameters as plans continue to be refined; changes in legislation, governmental or community policy; regulatory risks with respect to strategic minerals; mining industry competition; market risk; volatility in global financial conditions; uncertainties associated with estimating Mineral Resources and Mineral Reserves, including uncertainties relating to the assumptions underlying Mineral Resource and Mineral Reserve estimates; whether certain Mineral Resources will ever be converted into Mineral Reserves; uncertainties with respect to estimates of operating costs and related economics for the Cauchari-Olaroz Project; uncertainties with respect to the formation of the New JV, the development of PPG and the expected economics of PPG; risk that the Company may not be able to file the RIGI application and obtain the anticipated benefits therefrom as anticipated, or at all; risk that the Company may not be able to finance the development of PPG as contemplated, or at all; risk that the Company may not be able to attract third party investors for the development of PPG as contemplated, or at all; risk that the Company will not be able to implement DLE technology; uncertainties inherent to the results of technical and economic studies, such as the Scoping Study, which are subject to significant assumptions and a high degree of uncertainty; risks in connection with the Company’s existing debt financing; risks related to investments in Argentine bonds and equities; opposition to development of the Company’s mineral properties; lack of brine management regulations; surface access risk; risks related to climate change; geological, technical, drilling or processing problems; uncertainties in estimating capital and operating costs, cash flows and other project economics; liabilities and risks, including environmental liabilities and risks inherent in mineral extraction operations; health and safety risks; risks related to the stability and inflation of the Argentine Peso, including any foreign exchange or capital controls which may be enacted in respect thereof, and the effect of current and any additional regulations on the Company’s operations; risks related to unknown financial contingencies, including litigation costs, on the Company’s operations; unanticipated results of exploration activities; unpredictable weather conditions; unanticipated delays in preparing technical studies; inability to generate profitable operations; restrictive covenants in debt instruments; lack of availability of additional financing on terms acceptable to the Company, or to the Company and its co-owners for any co-ownership interests; shareholder dilution; intellectual property risk; dependency on consultants and key personnel; payment of dividends; competition for, amongst other things, capital, undeveloped lands and skilled personnel; fluctuations in currency exchange and interest rates; regulatory risk, including as a result of the Company’s dual-exchange listing and increased costs thereof; conflicts of interest; share price volatility; and cybersecurity risks and threats. Such risk factors are not exhaustive. </w:t>
      </w:r>
    </w:p>
    <w:p>
      <w:pPr>
        <w:pStyle w:val="TextBody"/>
        <w:bidi w:val="0"/>
        <w:spacing w:before="0" w:after="0"/>
        <w:jc w:val="right"/>
        <w:rPr/>
      </w:pPr>
      <w:r>
        <w:rPr/>
        <w:drawing>
          <wp:inline distT="0" distB="0" distL="0" distR="0">
            <wp:extent cx="2095500" cy="238125"/>
            <wp:effectExtent l="0" t="0" r="0" b="0"/>
            <wp:docPr id="14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8" descr=""/>
                    <pic:cNvPicPr>
                      <a:picLocks noChangeAspect="1" noChangeArrowheads="1"/>
                    </pic:cNvPicPr>
                  </pic:nvPicPr>
                  <pic:blipFill>
                    <a:blip r:embed="rId87"/>
                    <a:stretch>
                      <a:fillRect/>
                    </a:stretch>
                  </pic:blipFill>
                  <pic:spPr bwMode="auto">
                    <a:xfrm>
                      <a:off x="0" y="0"/>
                      <a:ext cx="2095500" cy="238125"/>
                    </a:xfrm>
                    <a:prstGeom prst="rect">
                      <a:avLst/>
                    </a:prstGeom>
                  </pic:spPr>
                </pic:pic>
              </a:graphicData>
            </a:graphic>
          </wp:inline>
        </w:drawing>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16840"/>
                <wp:effectExtent l="0" t="0" r="0" b="0"/>
                <wp:wrapNone/>
                <wp:docPr id="147" name="Frame6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317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27</w:t>
                      </w:r>
                    </w:p>
                  </w:txbxContent>
                </v:textbox>
                <w10:wrap type="none"/>
              </v:rect>
            </w:pict>
          </mc:Fallback>
        </mc:AlternateContent>
      </w:r>
    </w:p>
    <w:p>
      <w:pPr>
        <w:pStyle w:val="TextBody"/>
        <w:bidi w:val="0"/>
        <w:spacing w:lineRule="auto" w:line="268"/>
        <w:jc w:val="both"/>
        <w:rPr>
          <w:rFonts w:ascii="Arial;sans-serif" w:hAnsi="Arial;sans-serif"/>
          <w:b w:val="false"/>
          <w:color w:val="000000"/>
          <w:sz w:val="20"/>
        </w:rPr>
      </w:pPr>
      <w:r>
        <w:rPr>
          <w:rFonts w:ascii="Arial;sans-serif" w:hAnsi="Arial;sans-serif"/>
          <w:b w:val="false"/>
          <w:color w:val="000000"/>
          <w:sz w:val="20"/>
        </w:rPr>
        <w:t>The Company does not undertake any obligation to update or revise any forward-looking information, whether as a result of new information, future events or otherwise, except as required by law. All forward-looking information contained in this MD&amp;A is expressly qualified in its entirety by this cautionary statement. Additional information about the above-noted assumptions, risks and uncertainties is contained in the Company’s Form 20-F and other public filings, which are available on the Company’s website at www.lithium-argentina.com, on SEDAR+ at www.sedarplus.ca and on EDGAR at www.sec.gov.</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16840"/>
                <wp:effectExtent l="0" t="0" r="0" b="0"/>
                <wp:wrapNone/>
                <wp:docPr id="148" name="Frame6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28</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99.3</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52-109F2</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Certification of Interim Filings</w:t>
      </w:r>
    </w:p>
    <w:p>
      <w:pPr>
        <w:pStyle w:val="TextBody"/>
        <w:bidi w:val="0"/>
        <w:spacing w:lineRule="auto" w:line="288" w:before="0" w:after="200"/>
        <w:jc w:val="center"/>
        <w:rPr>
          <w:rFonts w:ascii="Arial;sans-serif" w:hAnsi="Arial;sans-serif"/>
          <w:b/>
          <w:i/>
          <w:color w:val="000000"/>
          <w:sz w:val="20"/>
        </w:rPr>
      </w:pPr>
      <w:r>
        <w:rPr>
          <w:rFonts w:ascii="Arial;sans-serif" w:hAnsi="Arial;sans-serif"/>
          <w:b/>
          <w:i/>
          <w:color w:val="000000"/>
          <w:sz w:val="20"/>
        </w:rPr>
        <w:t>Full Certificate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 Samuel Pigott, Chief Executive Officer of Lithium Argentina AG, certify the following:</w:t>
      </w:r>
    </w:p>
    <w:p>
      <w:pPr>
        <w:pStyle w:val="TextBody"/>
        <w:bidi w:val="0"/>
        <w:spacing w:lineRule="auto" w:line="288" w:before="0" w:after="200"/>
        <w:ind w:left="0" w:right="0" w:hanging="302"/>
        <w:jc w:val="both"/>
        <w:rPr/>
      </w:pPr>
      <w:r>
        <w:rPr>
          <w:rFonts w:ascii="Arial;sans-serif" w:hAnsi="Arial;sans-serif"/>
          <w:b w:val="false"/>
          <w:color w:val="000000"/>
          <w:sz w:val="20"/>
        </w:rPr>
        <w:t>1.</w:t>
      </w:r>
      <w:r>
        <w:rPr>
          <w:rFonts w:ascii="Arial;sans-serif" w:hAnsi="Arial;sans-serif"/>
          <w:b/>
          <w:i/>
          <w:color w:val="000000"/>
          <w:sz w:val="20"/>
        </w:rPr>
        <w:t>Review:</w:t>
      </w:r>
      <w:r>
        <w:rPr>
          <w:color w:val="000000"/>
        </w:rPr>
        <w:t xml:space="preserve"> </w:t>
      </w:r>
      <w:r>
        <w:rPr>
          <w:rFonts w:ascii="Arial;sans-serif" w:hAnsi="Arial;sans-serif"/>
          <w:b w:val="false"/>
          <w:color w:val="000000"/>
          <w:sz w:val="20"/>
        </w:rPr>
        <w:t>I have reviewed the interim financial report and interim MD&amp;A (together, the “interim filings”) of Lithium Argentina AG (the “issuer”) for the interim period ended June 30, 2026.</w:t>
      </w:r>
    </w:p>
    <w:p>
      <w:pPr>
        <w:pStyle w:val="TextBody"/>
        <w:bidi w:val="0"/>
        <w:spacing w:lineRule="auto" w:line="288" w:before="0" w:after="200"/>
        <w:ind w:left="0" w:right="0" w:hanging="302"/>
        <w:jc w:val="both"/>
        <w:rPr/>
      </w:pPr>
      <w:r>
        <w:rPr>
          <w:rFonts w:ascii="Arial;sans-serif" w:hAnsi="Arial;sans-serif"/>
          <w:b w:val="false"/>
          <w:color w:val="000000"/>
          <w:sz w:val="20"/>
        </w:rPr>
        <w:t>2.</w:t>
      </w:r>
      <w:r>
        <w:rPr>
          <w:rFonts w:ascii="Arial;sans-serif" w:hAnsi="Arial;sans-serif"/>
          <w:b/>
          <w:i/>
          <w:color w:val="000000"/>
          <w:sz w:val="20"/>
        </w:rPr>
        <w:t>No misrepresentations:</w:t>
      </w:r>
      <w:r>
        <w:rPr>
          <w:color w:val="000000"/>
        </w:rPr>
        <w:t xml:space="preserve"> </w:t>
      </w:r>
      <w:r>
        <w:rPr>
          <w:rFonts w:ascii="Arial;sans-serif" w:hAnsi="Arial;sans-serif"/>
          <w:b w:val="false"/>
          <w:color w:val="000000"/>
          <w:sz w:val="20"/>
        </w:rPr>
        <w:t>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lineRule="auto" w:line="288" w:before="0" w:after="0"/>
        <w:ind w:left="0" w:right="0" w:hanging="302"/>
        <w:jc w:val="left"/>
        <w:rPr/>
      </w:pPr>
      <w:r>
        <w:rPr>
          <w:rFonts w:ascii="Arial;sans-serif" w:hAnsi="Arial;sans-serif"/>
          <w:b w:val="false"/>
          <w:color w:val="000000"/>
          <w:sz w:val="20"/>
        </w:rPr>
        <w:t>3.</w:t>
      </w:r>
      <w:r>
        <w:rPr>
          <w:rFonts w:ascii="Arial;sans-serif" w:hAnsi="Arial;sans-serif"/>
          <w:b/>
          <w:color w:val="000000"/>
          <w:sz w:val="20"/>
        </w:rPr>
        <w:t>Fair presentation:</w:t>
      </w:r>
      <w:r>
        <w:rPr>
          <w:color w:val="000000"/>
        </w:rPr>
        <w:t xml:space="preserve"> </w:t>
      </w:r>
      <w:r>
        <w:rPr>
          <w:rFonts w:ascii="Arial;sans-serif" w:hAnsi="Arial;sans-serif"/>
          <w:b w:val="false"/>
          <w:color w:val="000000"/>
          <w:sz w:val="20"/>
        </w:rPr>
        <w:t>Based on my knowledge, having exercised reasonable diligence, the interim financial statements together with the other financial information included in the interim filings fairly present in all material respects the financial condition, results of operations and cash flows of the issuer, as of the date of and for the periods presented in the interim filings.</w:t>
      </w:r>
    </w:p>
    <w:p>
      <w:pPr>
        <w:pStyle w:val="TextBody"/>
        <w:bidi w:val="0"/>
        <w:spacing w:before="0" w:after="0"/>
        <w:ind w:left="0" w:right="0" w:firstLine="58"/>
        <w:jc w:val="left"/>
        <w:rPr/>
      </w:pPr>
      <w:r>
        <w:rPr/>
      </w:r>
    </w:p>
    <w:p>
      <w:pPr>
        <w:pStyle w:val="TextBody"/>
        <w:bidi w:val="0"/>
        <w:spacing w:lineRule="auto" w:line="288" w:before="0" w:after="0"/>
        <w:ind w:left="0" w:right="0" w:hanging="302"/>
        <w:jc w:val="left"/>
        <w:rPr/>
      </w:pPr>
      <w:r>
        <w:rPr>
          <w:rFonts w:ascii="Arial;sans-serif" w:hAnsi="Arial;sans-serif"/>
          <w:b w:val="false"/>
          <w:color w:val="000000"/>
          <w:sz w:val="20"/>
        </w:rPr>
        <w:t>4.</w:t>
      </w:r>
      <w:r>
        <w:rPr>
          <w:rFonts w:ascii="Arial;sans-serif" w:hAnsi="Arial;sans-serif"/>
          <w:b/>
          <w:color w:val="000000"/>
          <w:sz w:val="20"/>
        </w:rPr>
        <w:t>Responsibility:</w:t>
      </w:r>
      <w:r>
        <w:rPr>
          <w:color w:val="000000"/>
        </w:rPr>
        <w:t xml:space="preserve"> </w:t>
      </w:r>
      <w:r>
        <w:rPr>
          <w:rFonts w:ascii="Arial;sans-serif" w:hAnsi="Arial;sans-serif"/>
          <w:b w:val="false"/>
          <w:color w:val="000000"/>
          <w:sz w:val="20"/>
        </w:rPr>
        <w:t>The issuer’s other certifying officer and I are responsible for establishing and maintaining disclosure controls and procedures (DC&amp;P) and internal control over financial reporting (ICFR), as those terms are defined in National Instrument 52-109 Certification of Disclosure in Issuers’ Annual and Interim Filings, for the issuer.</w:t>
      </w:r>
    </w:p>
    <w:p>
      <w:pPr>
        <w:pStyle w:val="TextBody"/>
        <w:bidi w:val="0"/>
        <w:spacing w:before="0" w:after="0"/>
        <w:ind w:left="0" w:right="0" w:firstLine="58"/>
        <w:jc w:val="left"/>
        <w:rPr/>
      </w:pPr>
      <w:r>
        <w:rPr/>
      </w:r>
    </w:p>
    <w:p>
      <w:pPr>
        <w:pStyle w:val="TextBody"/>
        <w:bidi w:val="0"/>
        <w:spacing w:lineRule="auto" w:line="288" w:before="0" w:after="0"/>
        <w:ind w:left="0" w:right="0" w:hanging="302"/>
        <w:jc w:val="left"/>
        <w:rPr/>
      </w:pPr>
      <w:r>
        <w:rPr>
          <w:rFonts w:ascii="Arial;sans-serif" w:hAnsi="Arial;sans-serif"/>
          <w:b w:val="false"/>
          <w:color w:val="000000"/>
          <w:sz w:val="20"/>
        </w:rPr>
        <w:t>5.</w:t>
      </w:r>
      <w:r>
        <w:rPr>
          <w:rFonts w:ascii="Arial;sans-serif" w:hAnsi="Arial;sans-serif"/>
          <w:b/>
          <w:color w:val="000000"/>
          <w:sz w:val="20"/>
        </w:rPr>
        <w:t xml:space="preserve">Design: </w:t>
      </w:r>
      <w:r>
        <w:rPr>
          <w:rFonts w:ascii="Arial;sans-serif" w:hAnsi="Arial;sans-serif"/>
          <w:b w:val="false"/>
          <w:color w:val="000000"/>
          <w:sz w:val="20"/>
        </w:rPr>
        <w:t>Subject to the limitations, if any, described in paragraphs 5.2 and 5.3, the issuer’s other certifying officer(s) and I have, as at the end of the period covered by the interim filings:</w:t>
      </w:r>
    </w:p>
    <w:p>
      <w:pPr>
        <w:pStyle w:val="TextBody"/>
        <w:bidi w:val="0"/>
        <w:spacing w:before="0" w:after="0"/>
        <w:ind w:left="0" w:right="0" w:firstLine="58"/>
        <w:jc w:val="left"/>
        <w:rPr/>
      </w:pPr>
      <w:r>
        <w:rPr/>
      </w:r>
    </w:p>
    <w:p>
      <w:pPr>
        <w:pStyle w:val="TextBody"/>
        <w:bidi w:val="0"/>
        <w:spacing w:lineRule="auto" w:line="288" w:before="0" w:after="200"/>
        <w:ind w:left="0" w:right="0" w:hanging="533"/>
        <w:jc w:val="both"/>
        <w:rPr>
          <w:rFonts w:ascii="Arial;sans-serif" w:hAnsi="Arial;sans-serif"/>
          <w:b w:val="false"/>
          <w:color w:val="000000"/>
          <w:sz w:val="20"/>
        </w:rPr>
      </w:pPr>
      <w:r>
        <w:rPr>
          <w:rFonts w:ascii="Arial;sans-serif" w:hAnsi="Arial;sans-serif"/>
          <w:b w:val="false"/>
          <w:color w:val="000000"/>
          <w:sz w:val="20"/>
        </w:rPr>
        <w:t xml:space="preserve">(a)designed DC&amp;P, or caused it to be designed under our supervision, to provide reasonable assurance that </w:t>
      </w:r>
    </w:p>
    <w:p>
      <w:pPr>
        <w:pStyle w:val="TextBody"/>
        <w:bidi w:val="0"/>
        <w:spacing w:lineRule="auto" w:line="288" w:before="0" w:after="200"/>
        <w:ind w:left="0" w:right="0" w:hanging="259"/>
        <w:jc w:val="both"/>
        <w:rPr>
          <w:rFonts w:ascii="Arial;sans-serif" w:hAnsi="Arial;sans-serif"/>
          <w:b w:val="false"/>
          <w:color w:val="000000"/>
          <w:sz w:val="20"/>
        </w:rPr>
      </w:pPr>
      <w:r>
        <w:rPr>
          <w:rFonts w:ascii="Arial;sans-serif" w:hAnsi="Arial;sans-serif"/>
          <w:b w:val="false"/>
          <w:color w:val="000000"/>
          <w:sz w:val="20"/>
        </w:rPr>
        <w:t>(i)material information relating to the issuer is made known to us by others, particularly during the period in which the interim filings are being prepared; and</w:t>
      </w:r>
    </w:p>
    <w:p>
      <w:pPr>
        <w:pStyle w:val="TextBody"/>
        <w:bidi w:val="0"/>
        <w:spacing w:lineRule="auto" w:line="288" w:before="0" w:after="200"/>
        <w:ind w:left="0" w:right="0" w:hanging="259"/>
        <w:jc w:val="both"/>
        <w:rPr>
          <w:rFonts w:ascii="Arial;sans-serif" w:hAnsi="Arial;sans-serif"/>
          <w:b w:val="false"/>
          <w:color w:val="000000"/>
          <w:sz w:val="20"/>
        </w:rPr>
      </w:pPr>
      <w:r>
        <w:rPr>
          <w:rFonts w:ascii="Arial;sans-serif" w:hAnsi="Arial;sans-serif"/>
          <w:b w:val="false"/>
          <w:color w:val="000000"/>
          <w:sz w:val="20"/>
        </w:rPr>
        <w:t xml:space="preserve">(ii)information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p>
      <w:pPr>
        <w:pStyle w:val="TextBody"/>
        <w:bidi w:val="0"/>
        <w:spacing w:lineRule="auto" w:line="288" w:before="0" w:after="200"/>
        <w:ind w:left="0" w:right="0" w:hanging="533"/>
        <w:jc w:val="both"/>
        <w:rPr>
          <w:rFonts w:ascii="Arial;sans-serif" w:hAnsi="Arial;sans-serif"/>
          <w:b w:val="false"/>
          <w:color w:val="000000"/>
          <w:sz w:val="20"/>
        </w:rPr>
      </w:pPr>
      <w:r>
        <w:rPr>
          <w:rFonts w:ascii="Arial;sans-serif" w:hAnsi="Arial;sans-serif"/>
          <w:b w:val="false"/>
          <w:color w:val="000000"/>
          <w:sz w:val="20"/>
        </w:rPr>
        <w:t>(b)designed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lineRule="auto" w:line="288" w:before="0" w:after="200"/>
        <w:ind w:left="0" w:right="0" w:hanging="706"/>
        <w:jc w:val="left"/>
        <w:rPr/>
      </w:pPr>
      <w:r>
        <w:rPr>
          <w:rFonts w:ascii="Arial;sans-serif" w:hAnsi="Arial;sans-serif"/>
          <w:b w:val="false"/>
          <w:color w:val="000000"/>
          <w:sz w:val="20"/>
        </w:rPr>
        <w:t>5.1</w:t>
      </w:r>
      <w:r>
        <w:rPr>
          <w:rFonts w:ascii="Arial;sans-serif" w:hAnsi="Arial;sans-serif"/>
          <w:b/>
          <w:i/>
          <w:color w:val="000000"/>
          <w:sz w:val="20"/>
        </w:rPr>
        <w:t xml:space="preserve">Control framework: </w:t>
      </w:r>
      <w:r>
        <w:rPr>
          <w:rFonts w:ascii="Arial;sans-serif" w:hAnsi="Arial;sans-serif"/>
          <w:b w:val="false"/>
          <w:color w:val="000000"/>
          <w:sz w:val="20"/>
        </w:rPr>
        <w:t>The control framework the issuer’s other certifying officer(s) and I used to design the issuer’s ICFR is the Internal Control-Integrated Framework (2013 COSO Framework) issued by the Committee of Sponsoring Organizations of the Treadway Commission (COSO).</w:t>
      </w:r>
    </w:p>
    <w:p>
      <w:pPr>
        <w:pStyle w:val="TextBody"/>
        <w:bidi w:val="0"/>
        <w:spacing w:lineRule="auto" w:line="288" w:before="0" w:after="200"/>
        <w:ind w:left="0" w:right="0" w:hanging="706"/>
        <w:jc w:val="left"/>
        <w:rPr/>
      </w:pPr>
      <w:r>
        <w:rPr>
          <w:rFonts w:ascii="Arial;sans-serif" w:hAnsi="Arial;sans-serif"/>
          <w:b w:val="false"/>
          <w:color w:val="000000"/>
          <w:sz w:val="20"/>
        </w:rPr>
        <w:t>5.2</w:t>
      </w:r>
      <w:r>
        <w:rPr>
          <w:rFonts w:ascii="Arial;sans-serif" w:hAnsi="Arial;sans-serif"/>
          <w:b/>
          <w:i/>
          <w:color w:val="000000"/>
          <w:sz w:val="20"/>
        </w:rPr>
        <w:t>ICFR – material weakness relating to design:</w:t>
      </w:r>
      <w:r>
        <w:rPr>
          <w:color w:val="000000"/>
        </w:rPr>
        <w:t xml:space="preserve"> </w:t>
      </w:r>
      <w:r>
        <w:rPr>
          <w:rFonts w:ascii="Arial;sans-serif" w:hAnsi="Arial;sans-serif"/>
          <w:b w:val="false"/>
          <w:color w:val="000000"/>
          <w:sz w:val="20"/>
        </w:rPr>
        <w:t>N/A</w:t>
      </w:r>
    </w:p>
    <w:p>
      <w:pPr>
        <w:pStyle w:val="TextBody"/>
        <w:bidi w:val="0"/>
        <w:spacing w:lineRule="auto" w:line="288" w:before="0" w:after="200"/>
        <w:ind w:left="0" w:right="0" w:hanging="706"/>
        <w:jc w:val="left"/>
        <w:rPr/>
      </w:pPr>
      <w:r>
        <w:rPr>
          <w:rFonts w:ascii="Arial;sans-serif" w:hAnsi="Arial;sans-serif"/>
          <w:b w:val="false"/>
          <w:color w:val="000000"/>
          <w:sz w:val="20"/>
        </w:rPr>
        <w:t>5.3</w:t>
      </w:r>
      <w:r>
        <w:rPr>
          <w:rFonts w:ascii="Arial;sans-serif" w:hAnsi="Arial;sans-serif"/>
          <w:b/>
          <w:i/>
          <w:color w:val="000000"/>
          <w:sz w:val="20"/>
        </w:rPr>
        <w:t>Limitation on scope of design:</w:t>
      </w:r>
      <w:r>
        <w:rPr>
          <w:color w:val="000000"/>
        </w:rPr>
        <w:t xml:space="preserve"> </w:t>
      </w:r>
      <w:r>
        <w:rPr>
          <w:rFonts w:ascii="Arial;sans-serif" w:hAnsi="Arial;sans-serif"/>
          <w:b w:val="false"/>
          <w:color w:val="000000"/>
          <w:sz w:val="20"/>
        </w:rPr>
        <w:t>N/A</w:t>
      </w:r>
    </w:p>
    <w:p>
      <w:pPr>
        <w:pStyle w:val="TextBody"/>
        <w:bidi w:val="0"/>
        <w:spacing w:lineRule="auto" w:line="288" w:before="0" w:after="400"/>
        <w:ind w:left="0" w:right="0" w:hanging="317"/>
        <w:jc w:val="left"/>
        <w:rPr/>
      </w:pPr>
      <w:r>
        <w:rPr>
          <w:rFonts w:ascii="Arial;sans-serif" w:hAnsi="Arial;sans-serif"/>
          <w:b w:val="false"/>
          <w:color w:val="000000"/>
          <w:sz w:val="20"/>
        </w:rPr>
        <w:t>6.</w:t>
      </w:r>
      <w:r>
        <w:rPr>
          <w:rFonts w:ascii="Arial;sans-serif" w:hAnsi="Arial;sans-serif"/>
          <w:b/>
          <w:i/>
          <w:color w:val="000000"/>
          <w:sz w:val="20"/>
        </w:rPr>
        <w:t>Reporting changes in ICFR:</w:t>
      </w:r>
      <w:r>
        <w:rPr>
          <w:color w:val="000000"/>
        </w:rPr>
        <w:t xml:space="preserve"> </w:t>
      </w:r>
      <w:r>
        <w:rPr>
          <w:rFonts w:ascii="Arial;sans-serif" w:hAnsi="Arial;sans-serif"/>
          <w:b w:val="false"/>
          <w:color w:val="000000"/>
          <w:sz w:val="20"/>
        </w:rPr>
        <w:t>The issuer has disclosed in its interim MD&amp;A any change in the issuer’s ICFR that occurred during the period beginning on April 1, 2026 and ended on June 30, 2026 that has materially affected, or is reasonably likely to materially affect, the issuer’s ICFR.</w:t>
      </w:r>
    </w:p>
    <w:tbl>
      <w:tblPr>
        <w:tblW w:w="2190" w:type="dxa"/>
        <w:jc w:val="left"/>
        <w:tblInd w:w="0" w:type="dxa"/>
        <w:tblLayout w:type="fixed"/>
        <w:tblCellMar>
          <w:top w:w="28" w:type="dxa"/>
          <w:left w:w="28" w:type="dxa"/>
          <w:bottom w:w="28" w:type="dxa"/>
          <w:right w:w="28" w:type="dxa"/>
        </w:tblCellMar>
      </w:tblPr>
      <w:tblGrid>
        <w:gridCol w:w="701"/>
        <w:gridCol w:w="614"/>
        <w:gridCol w:w="875"/>
      </w:tblGrid>
      <w:tr>
        <w:trPr/>
        <w:tc>
          <w:tcPr>
            <w:tcW w:w="70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w:t>
            </w:r>
            <w:r>
              <w:rPr>
                <w:rFonts w:ascii="Arial;sans-serif" w:hAnsi="Arial;sans-serif"/>
                <w:b w:val="false"/>
                <w:i/>
                <w:color w:val="000000"/>
                <w:sz w:val="20"/>
                <w:u w:val="single"/>
              </w:rPr>
              <w:t>Samuel Pigott”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Samuel Pigott</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4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99.4</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Form 52-109F2</w:t>
      </w:r>
    </w:p>
    <w:p>
      <w:pPr>
        <w:pStyle w:val="TextBody"/>
        <w:bidi w:val="0"/>
        <w:spacing w:lineRule="auto" w:line="288" w:before="0" w:after="0"/>
        <w:jc w:val="center"/>
        <w:rPr>
          <w:rFonts w:ascii="Arial;sans-serif" w:hAnsi="Arial;sans-serif"/>
          <w:b/>
          <w:i/>
          <w:color w:val="000000"/>
          <w:sz w:val="20"/>
        </w:rPr>
      </w:pPr>
      <w:r>
        <w:rPr>
          <w:rFonts w:ascii="Arial;sans-serif" w:hAnsi="Arial;sans-serif"/>
          <w:b/>
          <w:i/>
          <w:color w:val="000000"/>
          <w:sz w:val="20"/>
        </w:rPr>
        <w:t>Certification of Interim Filings</w:t>
      </w:r>
    </w:p>
    <w:p>
      <w:pPr>
        <w:pStyle w:val="TextBody"/>
        <w:bidi w:val="0"/>
        <w:spacing w:lineRule="auto" w:line="288" w:before="0" w:after="200"/>
        <w:jc w:val="center"/>
        <w:rPr>
          <w:rFonts w:ascii="Arial;sans-serif" w:hAnsi="Arial;sans-serif"/>
          <w:b/>
          <w:i/>
          <w:color w:val="000000"/>
          <w:sz w:val="20"/>
        </w:rPr>
      </w:pPr>
      <w:r>
        <w:rPr>
          <w:rFonts w:ascii="Arial;sans-serif" w:hAnsi="Arial;sans-serif"/>
          <w:b/>
          <w:i/>
          <w:color w:val="000000"/>
          <w:sz w:val="20"/>
        </w:rPr>
        <w:t>Full Certificate</w:t>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I, Alex Shulga, Chief Financial Officer of Lithium Argentina AG, certify the following:</w:t>
      </w:r>
    </w:p>
    <w:p>
      <w:pPr>
        <w:pStyle w:val="TextBody"/>
        <w:bidi w:val="0"/>
        <w:spacing w:lineRule="auto" w:line="288" w:before="0" w:after="200"/>
        <w:ind w:left="0" w:right="0" w:hanging="302"/>
        <w:jc w:val="both"/>
        <w:rPr/>
      </w:pPr>
      <w:r>
        <w:rPr>
          <w:rFonts w:ascii="Arial;sans-serif" w:hAnsi="Arial;sans-serif"/>
          <w:b w:val="false"/>
          <w:color w:val="000000"/>
          <w:sz w:val="20"/>
        </w:rPr>
        <w:t>1.</w:t>
      </w:r>
      <w:r>
        <w:rPr>
          <w:rFonts w:ascii="Arial;sans-serif" w:hAnsi="Arial;sans-serif"/>
          <w:b/>
          <w:i/>
          <w:color w:val="000000"/>
          <w:sz w:val="20"/>
        </w:rPr>
        <w:t>Review:</w:t>
      </w:r>
      <w:r>
        <w:rPr>
          <w:color w:val="000000"/>
        </w:rPr>
        <w:t xml:space="preserve"> </w:t>
      </w:r>
      <w:r>
        <w:rPr>
          <w:rFonts w:ascii="Arial;sans-serif" w:hAnsi="Arial;sans-serif"/>
          <w:b w:val="false"/>
          <w:color w:val="000000"/>
          <w:sz w:val="20"/>
        </w:rPr>
        <w:t>I have reviewed the interim financial report and interim MD&amp;A (together, the “interim filings”) of Lithium Argentina AG (the “issuer”) for the interim period ended June 30, 2026.</w:t>
      </w:r>
    </w:p>
    <w:p>
      <w:pPr>
        <w:pStyle w:val="TextBody"/>
        <w:bidi w:val="0"/>
        <w:spacing w:lineRule="auto" w:line="288" w:before="0" w:after="200"/>
        <w:ind w:left="0" w:right="0" w:hanging="302"/>
        <w:jc w:val="both"/>
        <w:rPr/>
      </w:pPr>
      <w:r>
        <w:rPr>
          <w:rFonts w:ascii="Arial;sans-serif" w:hAnsi="Arial;sans-serif"/>
          <w:b w:val="false"/>
          <w:color w:val="000000"/>
          <w:sz w:val="20"/>
        </w:rPr>
        <w:t>2.</w:t>
      </w:r>
      <w:r>
        <w:rPr>
          <w:rFonts w:ascii="Arial;sans-serif" w:hAnsi="Arial;sans-serif"/>
          <w:b/>
          <w:i/>
          <w:color w:val="000000"/>
          <w:sz w:val="20"/>
        </w:rPr>
        <w:t>No misrepresentations:</w:t>
      </w:r>
      <w:r>
        <w:rPr>
          <w:color w:val="000000"/>
        </w:rPr>
        <w:t xml:space="preserve"> </w:t>
      </w:r>
      <w:r>
        <w:rPr>
          <w:rFonts w:ascii="Arial;sans-serif" w:hAnsi="Arial;sans-serif"/>
          <w:b w:val="false"/>
          <w:color w:val="000000"/>
          <w:sz w:val="20"/>
        </w:rPr>
        <w:t>Based on my knowledge, having exercised reasonable diligence, the interim filings do not contain any untrue statement of a material fact or omit to state a material fact required to be stated or that is necessary to make a statement not misleading in light of the circumstances under which it was made, with respect to the period covered by the interim filings.</w:t>
      </w:r>
    </w:p>
    <w:p>
      <w:pPr>
        <w:pStyle w:val="TextBody"/>
        <w:bidi w:val="0"/>
        <w:spacing w:lineRule="auto" w:line="288" w:before="0" w:after="0"/>
        <w:ind w:left="0" w:right="0" w:hanging="302"/>
        <w:jc w:val="left"/>
        <w:rPr/>
      </w:pPr>
      <w:r>
        <w:rPr>
          <w:rFonts w:ascii="Arial;sans-serif" w:hAnsi="Arial;sans-serif"/>
          <w:b w:val="false"/>
          <w:color w:val="000000"/>
          <w:sz w:val="20"/>
        </w:rPr>
        <w:t>3.</w:t>
      </w:r>
      <w:r>
        <w:rPr>
          <w:rFonts w:ascii="Arial;sans-serif" w:hAnsi="Arial;sans-serif"/>
          <w:b/>
          <w:color w:val="000000"/>
          <w:sz w:val="20"/>
        </w:rPr>
        <w:t>Fair presentation:</w:t>
      </w:r>
      <w:r>
        <w:rPr>
          <w:color w:val="000000"/>
        </w:rPr>
        <w:t xml:space="preserve"> </w:t>
      </w:r>
      <w:r>
        <w:rPr>
          <w:rFonts w:ascii="Arial;sans-serif" w:hAnsi="Arial;sans-serif"/>
          <w:b w:val="false"/>
          <w:color w:val="000000"/>
          <w:sz w:val="20"/>
        </w:rPr>
        <w:t>Based on my knowledge, having exercised reasonable diligence, the interim financial statements together with the other financial information included in the interim filings fairly present in all material respects the financial condition, results of operations and cash flows of the issuer, as of the date of and for the periods presented in the interim filings.</w:t>
      </w:r>
    </w:p>
    <w:p>
      <w:pPr>
        <w:pStyle w:val="TextBody"/>
        <w:bidi w:val="0"/>
        <w:spacing w:before="0" w:after="0"/>
        <w:ind w:left="0" w:right="0" w:firstLine="58"/>
        <w:jc w:val="left"/>
        <w:rPr/>
      </w:pPr>
      <w:r>
        <w:rPr/>
      </w:r>
    </w:p>
    <w:p>
      <w:pPr>
        <w:pStyle w:val="TextBody"/>
        <w:bidi w:val="0"/>
        <w:spacing w:lineRule="auto" w:line="288" w:before="0" w:after="0"/>
        <w:ind w:left="0" w:right="0" w:hanging="302"/>
        <w:jc w:val="left"/>
        <w:rPr/>
      </w:pPr>
      <w:r>
        <w:rPr>
          <w:rFonts w:ascii="Arial;sans-serif" w:hAnsi="Arial;sans-serif"/>
          <w:b w:val="false"/>
          <w:color w:val="000000"/>
          <w:sz w:val="20"/>
        </w:rPr>
        <w:t>4.</w:t>
      </w:r>
      <w:r>
        <w:rPr>
          <w:rFonts w:ascii="Arial;sans-serif" w:hAnsi="Arial;sans-serif"/>
          <w:b/>
          <w:color w:val="000000"/>
          <w:sz w:val="20"/>
        </w:rPr>
        <w:t>Responsibility:</w:t>
      </w:r>
      <w:r>
        <w:rPr>
          <w:color w:val="000000"/>
        </w:rPr>
        <w:t xml:space="preserve"> </w:t>
      </w:r>
      <w:r>
        <w:rPr>
          <w:rFonts w:ascii="Arial;sans-serif" w:hAnsi="Arial;sans-serif"/>
          <w:b w:val="false"/>
          <w:color w:val="000000"/>
          <w:sz w:val="20"/>
        </w:rPr>
        <w:t>The issuer’s other certifying officer and I are responsible for establishing and maintaining disclosure controls and procedures (DC&amp;P) and internal control over financial reporting (ICFR), as those terms are defined in National Instrument 52-109 Certification of Disclosure in Issuers’ Annual and Interim Filings, for the issuer.</w:t>
      </w:r>
    </w:p>
    <w:p>
      <w:pPr>
        <w:pStyle w:val="TextBody"/>
        <w:bidi w:val="0"/>
        <w:spacing w:before="0" w:after="0"/>
        <w:ind w:left="0" w:right="0" w:firstLine="58"/>
        <w:jc w:val="left"/>
        <w:rPr/>
      </w:pPr>
      <w:r>
        <w:rPr/>
      </w:r>
    </w:p>
    <w:p>
      <w:pPr>
        <w:pStyle w:val="TextBody"/>
        <w:bidi w:val="0"/>
        <w:spacing w:lineRule="auto" w:line="288" w:before="0" w:after="0"/>
        <w:ind w:left="0" w:right="0" w:hanging="302"/>
        <w:jc w:val="left"/>
        <w:rPr/>
      </w:pPr>
      <w:r>
        <w:rPr>
          <w:rFonts w:ascii="Arial;sans-serif" w:hAnsi="Arial;sans-serif"/>
          <w:b w:val="false"/>
          <w:color w:val="000000"/>
          <w:sz w:val="20"/>
        </w:rPr>
        <w:t>5.</w:t>
      </w:r>
      <w:r>
        <w:rPr>
          <w:rFonts w:ascii="Arial;sans-serif" w:hAnsi="Arial;sans-serif"/>
          <w:b/>
          <w:color w:val="000000"/>
          <w:sz w:val="20"/>
        </w:rPr>
        <w:t>Design:</w:t>
      </w:r>
      <w:r>
        <w:rPr>
          <w:color w:val="000000"/>
        </w:rPr>
        <w:t xml:space="preserve"> </w:t>
      </w:r>
      <w:r>
        <w:rPr>
          <w:rFonts w:ascii="Arial;sans-serif" w:hAnsi="Arial;sans-serif"/>
          <w:b w:val="false"/>
          <w:color w:val="000000"/>
          <w:sz w:val="20"/>
        </w:rPr>
        <w:t>Subject to the limitations, if any, described in paragraphs 5.2 and 5.3, the issuer’s other certifying officer(s) and I have, as at the end of the period covered by the interim filings:</w:t>
      </w:r>
    </w:p>
    <w:p>
      <w:pPr>
        <w:pStyle w:val="TextBody"/>
        <w:bidi w:val="0"/>
        <w:spacing w:before="0" w:after="0"/>
        <w:ind w:left="0" w:right="0" w:firstLine="58"/>
        <w:jc w:val="left"/>
        <w:rPr/>
      </w:pPr>
      <w:r>
        <w:rPr/>
      </w:r>
    </w:p>
    <w:p>
      <w:pPr>
        <w:pStyle w:val="TextBody"/>
        <w:bidi w:val="0"/>
        <w:spacing w:lineRule="auto" w:line="288" w:before="0" w:after="200"/>
        <w:ind w:left="0" w:right="0" w:hanging="533"/>
        <w:jc w:val="both"/>
        <w:rPr>
          <w:rFonts w:ascii="Arial;sans-serif" w:hAnsi="Arial;sans-serif"/>
          <w:b w:val="false"/>
          <w:color w:val="000000"/>
          <w:sz w:val="20"/>
        </w:rPr>
      </w:pPr>
      <w:r>
        <w:rPr>
          <w:rFonts w:ascii="Arial;sans-serif" w:hAnsi="Arial;sans-serif"/>
          <w:b w:val="false"/>
          <w:color w:val="000000"/>
          <w:sz w:val="20"/>
        </w:rPr>
        <w:t xml:space="preserve">(a)designed DC&amp;P, or caused it to be designed under our supervision, to provide reasonable assurance that </w:t>
      </w:r>
    </w:p>
    <w:p>
      <w:pPr>
        <w:pStyle w:val="TextBody"/>
        <w:bidi w:val="0"/>
        <w:spacing w:lineRule="auto" w:line="288" w:before="0" w:after="200"/>
        <w:ind w:left="0" w:right="0" w:hanging="259"/>
        <w:jc w:val="both"/>
        <w:rPr>
          <w:rFonts w:ascii="Arial;sans-serif" w:hAnsi="Arial;sans-serif"/>
          <w:b w:val="false"/>
          <w:color w:val="000000"/>
          <w:sz w:val="20"/>
        </w:rPr>
      </w:pPr>
      <w:r>
        <w:rPr>
          <w:rFonts w:ascii="Arial;sans-serif" w:hAnsi="Arial;sans-serif"/>
          <w:b w:val="false"/>
          <w:color w:val="000000"/>
          <w:sz w:val="20"/>
        </w:rPr>
        <w:t>(i)material information relating to the issuer is made known to us by others, particularly during the period in which the interim filings are being prepared; and</w:t>
      </w:r>
    </w:p>
    <w:p>
      <w:pPr>
        <w:pStyle w:val="TextBody"/>
        <w:bidi w:val="0"/>
        <w:spacing w:lineRule="auto" w:line="288" w:before="0" w:after="200"/>
        <w:ind w:left="0" w:right="0" w:hanging="259"/>
        <w:jc w:val="both"/>
        <w:rPr>
          <w:rFonts w:ascii="Arial;sans-serif" w:hAnsi="Arial;sans-serif"/>
          <w:b w:val="false"/>
          <w:color w:val="000000"/>
          <w:sz w:val="20"/>
        </w:rPr>
      </w:pPr>
      <w:r>
        <w:rPr>
          <w:rFonts w:ascii="Arial;sans-serif" w:hAnsi="Arial;sans-serif"/>
          <w:b w:val="false"/>
          <w:color w:val="000000"/>
          <w:sz w:val="20"/>
        </w:rPr>
        <w:t xml:space="preserve">(ii)information required to be disclosed by the issuer in its annual filings, interim filings or other reports filed or submitted by it under securities legislation is recorded, processed, summarized and reported within the time periods specified in securities legislation; and </w:t>
      </w:r>
    </w:p>
    <w:p>
      <w:pPr>
        <w:pStyle w:val="TextBody"/>
        <w:bidi w:val="0"/>
        <w:spacing w:lineRule="auto" w:line="288" w:before="0" w:after="200"/>
        <w:ind w:left="0" w:right="0" w:hanging="533"/>
        <w:jc w:val="both"/>
        <w:rPr>
          <w:rFonts w:ascii="Arial;sans-serif" w:hAnsi="Arial;sans-serif"/>
          <w:b w:val="false"/>
          <w:color w:val="000000"/>
          <w:sz w:val="20"/>
        </w:rPr>
      </w:pPr>
      <w:r>
        <w:rPr>
          <w:rFonts w:ascii="Arial;sans-serif" w:hAnsi="Arial;sans-serif"/>
          <w:b w:val="false"/>
          <w:color w:val="000000"/>
          <w:sz w:val="20"/>
        </w:rPr>
        <w:t>(b)designed ICFR, or caused it to be designed under our supervision, to provide reasonable assurance regarding the reliability of financial reporting and the preparation of financial statements for external purposes in accordance with the issuer’s GAAP.</w:t>
      </w:r>
    </w:p>
    <w:p>
      <w:pPr>
        <w:pStyle w:val="TextBody"/>
        <w:bidi w:val="0"/>
        <w:spacing w:lineRule="auto" w:line="288" w:before="0" w:after="200"/>
        <w:ind w:left="0" w:right="0" w:hanging="706"/>
        <w:jc w:val="both"/>
        <w:rPr/>
      </w:pPr>
      <w:r>
        <w:rPr>
          <w:rFonts w:ascii="Arial;sans-serif" w:hAnsi="Arial;sans-serif"/>
          <w:b w:val="false"/>
          <w:color w:val="000000"/>
          <w:sz w:val="20"/>
        </w:rPr>
        <w:t>5.1</w:t>
      </w:r>
      <w:r>
        <w:rPr>
          <w:rFonts w:ascii="Arial;sans-serif" w:hAnsi="Arial;sans-serif"/>
          <w:b/>
          <w:i/>
          <w:color w:val="000000"/>
          <w:sz w:val="20"/>
        </w:rPr>
        <w:t>Control framework:</w:t>
      </w:r>
      <w:r>
        <w:rPr>
          <w:color w:val="000000"/>
        </w:rPr>
        <w:t xml:space="preserve"> </w:t>
      </w:r>
      <w:r>
        <w:rPr>
          <w:rFonts w:ascii="Arial;sans-serif" w:hAnsi="Arial;sans-serif"/>
          <w:b w:val="false"/>
          <w:color w:val="000000"/>
          <w:sz w:val="20"/>
        </w:rPr>
        <w:t>The control framework the issuer’s other certifying officer(s) and I used to design the issuer’s ICFR is the Internal Control-Integrated Framework (2013 COSO Framework) issued by the Committee of Sponsoring Organizations of the Treadway Commission (COSO).</w:t>
      </w:r>
    </w:p>
    <w:p>
      <w:pPr>
        <w:pStyle w:val="TextBody"/>
        <w:bidi w:val="0"/>
        <w:spacing w:lineRule="auto" w:line="288" w:before="0" w:after="200"/>
        <w:ind w:left="0" w:right="0" w:hanging="706"/>
        <w:jc w:val="both"/>
        <w:rPr/>
      </w:pPr>
      <w:r>
        <w:rPr>
          <w:rFonts w:ascii="Arial;sans-serif" w:hAnsi="Arial;sans-serif"/>
          <w:b w:val="false"/>
          <w:color w:val="000000"/>
          <w:sz w:val="20"/>
        </w:rPr>
        <w:t>5.2</w:t>
      </w:r>
      <w:r>
        <w:rPr>
          <w:rFonts w:ascii="Arial;sans-serif" w:hAnsi="Arial;sans-serif"/>
          <w:b/>
          <w:i/>
          <w:color w:val="000000"/>
          <w:sz w:val="20"/>
        </w:rPr>
        <w:t>ICFR – material weakness relating to design:</w:t>
      </w:r>
      <w:r>
        <w:rPr>
          <w:color w:val="000000"/>
        </w:rPr>
        <w:t xml:space="preserve"> </w:t>
      </w:r>
      <w:r>
        <w:rPr>
          <w:rFonts w:ascii="Arial;sans-serif" w:hAnsi="Arial;sans-serif"/>
          <w:b w:val="false"/>
          <w:color w:val="000000"/>
          <w:sz w:val="20"/>
        </w:rPr>
        <w:t>N/A</w:t>
      </w:r>
    </w:p>
    <w:p>
      <w:pPr>
        <w:pStyle w:val="TextBody"/>
        <w:bidi w:val="0"/>
        <w:spacing w:lineRule="auto" w:line="288" w:before="0" w:after="200"/>
        <w:ind w:left="0" w:right="0" w:hanging="706"/>
        <w:jc w:val="both"/>
        <w:rPr/>
      </w:pPr>
      <w:r>
        <w:rPr>
          <w:rFonts w:ascii="Arial;sans-serif" w:hAnsi="Arial;sans-serif"/>
          <w:b w:val="false"/>
          <w:color w:val="000000"/>
          <w:sz w:val="20"/>
        </w:rPr>
        <w:t>5.3</w:t>
      </w:r>
      <w:r>
        <w:rPr>
          <w:rFonts w:ascii="Arial;sans-serif" w:hAnsi="Arial;sans-serif"/>
          <w:b/>
          <w:i/>
          <w:color w:val="000000"/>
          <w:sz w:val="20"/>
        </w:rPr>
        <w:t>Limitation on scope of design:</w:t>
      </w:r>
      <w:r>
        <w:rPr>
          <w:color w:val="000000"/>
        </w:rPr>
        <w:t xml:space="preserve"> </w:t>
      </w:r>
      <w:r>
        <w:rPr>
          <w:rFonts w:ascii="Arial;sans-serif" w:hAnsi="Arial;sans-serif"/>
          <w:b w:val="false"/>
          <w:color w:val="000000"/>
          <w:sz w:val="20"/>
        </w:rPr>
        <w:t>N/A</w:t>
      </w:r>
    </w:p>
    <w:p>
      <w:pPr>
        <w:pStyle w:val="TextBody"/>
        <w:bidi w:val="0"/>
        <w:spacing w:lineRule="auto" w:line="288" w:before="0" w:after="400"/>
        <w:ind w:left="0" w:right="0" w:hanging="317"/>
        <w:jc w:val="both"/>
        <w:rPr/>
      </w:pPr>
      <w:r>
        <w:rPr>
          <w:rFonts w:ascii="Arial;sans-serif" w:hAnsi="Arial;sans-serif"/>
          <w:b w:val="false"/>
          <w:color w:val="000000"/>
          <w:sz w:val="20"/>
        </w:rPr>
        <w:t>6.</w:t>
      </w:r>
      <w:r>
        <w:rPr>
          <w:rFonts w:ascii="Arial;sans-serif" w:hAnsi="Arial;sans-serif"/>
          <w:b/>
          <w:i/>
          <w:color w:val="000000"/>
          <w:sz w:val="20"/>
        </w:rPr>
        <w:t>Reporting changes in ICFR:</w:t>
      </w:r>
      <w:r>
        <w:rPr>
          <w:color w:val="000000"/>
        </w:rPr>
        <w:t xml:space="preserve"> </w:t>
      </w:r>
      <w:r>
        <w:rPr>
          <w:rFonts w:ascii="Arial;sans-serif" w:hAnsi="Arial;sans-serif"/>
          <w:b w:val="false"/>
          <w:color w:val="000000"/>
          <w:sz w:val="20"/>
        </w:rPr>
        <w:t>The issuer has disclosed in its interim MD&amp;A any change in the issuer’s ICFR that occurred during the period beginning on April 1, 2026 and ended on June 30, 2026 that has materially affected, or is reasonably likely to materially affect, the issuer’s ICFR.</w:t>
      </w:r>
    </w:p>
    <w:tbl>
      <w:tblPr>
        <w:tblW w:w="2115" w:type="dxa"/>
        <w:jc w:val="left"/>
        <w:tblInd w:w="0" w:type="dxa"/>
        <w:tblLayout w:type="fixed"/>
        <w:tblCellMar>
          <w:top w:w="28" w:type="dxa"/>
          <w:left w:w="28" w:type="dxa"/>
          <w:bottom w:w="28" w:type="dxa"/>
          <w:right w:w="28" w:type="dxa"/>
        </w:tblCellMar>
      </w:tblPr>
      <w:tblGrid>
        <w:gridCol w:w="677"/>
        <w:gridCol w:w="593"/>
        <w:gridCol w:w="845"/>
      </w:tblGrid>
      <w:tr>
        <w:trPr/>
        <w:tc>
          <w:tcPr>
            <w:tcW w:w="67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u w:val="single"/>
              </w:rPr>
            </w:pPr>
            <w:r>
              <w:rPr>
                <w:color w:val="000000"/>
                <w:u w:val="single"/>
              </w:rPr>
              <w:t>“</w:t>
            </w:r>
            <w:r>
              <w:rPr>
                <w:rFonts w:ascii="Arial;sans-serif" w:hAnsi="Arial;sans-serif"/>
                <w:b w:val="false"/>
                <w:i/>
                <w:color w:val="000000"/>
                <w:sz w:val="20"/>
                <w:u w:val="single"/>
              </w:rPr>
              <w:t>Alex Shulga”</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Alex Shulga </w:t>
            </w:r>
          </w:p>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5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51"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59" descr=""/>
                          <pic:cNvPicPr>
                            <a:picLocks noChangeAspect="1" noChangeArrowheads="1"/>
                          </pic:cNvPicPr>
                        </pic:nvPicPr>
                        <pic:blipFill>
                          <a:blip r:embed="rId88"/>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40" w:before="0" w:after="0"/>
        <w:jc w:val="center"/>
        <w:rPr>
          <w:rFonts w:ascii="Arial;sans-serif" w:hAnsi="Arial;sans-serif"/>
          <w:b/>
          <w:color w:val="153A57"/>
          <w:sz w:val="30"/>
        </w:rPr>
      </w:pPr>
      <w:r>
        <w:rPr>
          <w:rFonts w:ascii="Arial;sans-serif" w:hAnsi="Arial;sans-serif"/>
          <w:b/>
          <w:color w:val="153A57"/>
          <w:sz w:val="30"/>
        </w:rPr>
        <w:t xml:space="preserve">Lithium Argentina Reports </w:t>
      </w:r>
    </w:p>
    <w:p>
      <w:pPr>
        <w:pStyle w:val="TextBody"/>
        <w:bidi w:val="0"/>
        <w:spacing w:lineRule="auto" w:line="240" w:before="0" w:after="0"/>
        <w:jc w:val="center"/>
        <w:rPr>
          <w:rFonts w:ascii="Arial;sans-serif" w:hAnsi="Arial;sans-serif"/>
          <w:b/>
          <w:color w:val="153A57"/>
          <w:sz w:val="30"/>
        </w:rPr>
      </w:pPr>
      <w:r>
        <w:rPr>
          <w:rFonts w:ascii="Arial;sans-serif" w:hAnsi="Arial;sans-serif"/>
          <w:b/>
          <w:color w:val="153A57"/>
          <w:sz w:val="30"/>
        </w:rPr>
        <w:t>Second Quarter 2026 Results</w:t>
      </w:r>
    </w:p>
    <w:p>
      <w:pPr>
        <w:pStyle w:val="TextBody"/>
        <w:bidi w:val="0"/>
        <w:spacing w:lineRule="auto" w:line="288" w:before="0" w:after="0"/>
        <w:jc w:val="left"/>
        <w:rPr/>
      </w:pPr>
      <w:r>
        <w:rPr>
          <w:rFonts w:ascii="Arial;sans-serif" w:hAnsi="Arial;sans-serif"/>
          <w:b/>
          <w:color w:val="000000"/>
          <w:sz w:val="20"/>
        </w:rPr>
        <w:t>August 11, 2026</w:t>
      </w:r>
      <w:r>
        <w:rPr>
          <w:color w:val="000000"/>
          <w:shd w:fill="FFFFFF" w:val="clear"/>
        </w:rPr>
        <w:t xml:space="preserve"> – </w:t>
      </w:r>
      <w:r>
        <w:rPr>
          <w:rFonts w:ascii="Arial;sans-serif" w:hAnsi="Arial;sans-serif"/>
          <w:b/>
          <w:color w:val="000000"/>
          <w:sz w:val="20"/>
          <w:shd w:fill="FFFFFF" w:val="clear"/>
        </w:rPr>
        <w:t xml:space="preserve">Zug, Switzerland: </w:t>
      </w:r>
      <w:r>
        <w:rPr>
          <w:rFonts w:ascii="Arial;sans-serif" w:hAnsi="Arial;sans-serif"/>
          <w:b w:val="false"/>
          <w:color w:val="000000"/>
          <w:sz w:val="20"/>
          <w:shd w:fill="FFFFFF" w:val="clear"/>
        </w:rPr>
        <w:t>Lithium Argentina AG (“</w:t>
      </w:r>
      <w:r>
        <w:rPr>
          <w:rFonts w:ascii="Arial;sans-serif" w:hAnsi="Arial;sans-serif"/>
          <w:b/>
          <w:color w:val="000000"/>
          <w:sz w:val="20"/>
          <w:shd w:fill="FFFFFF" w:val="clear"/>
        </w:rPr>
        <w:t>Lithium Argentina</w:t>
      </w:r>
      <w:r>
        <w:rPr>
          <w:color w:val="000000"/>
          <w:shd w:fill="FFFFFF" w:val="clear"/>
        </w:rPr>
        <w:t xml:space="preserve">” </w:t>
      </w:r>
      <w:r>
        <w:rPr>
          <w:rFonts w:ascii="Arial;sans-serif" w:hAnsi="Arial;sans-serif"/>
          <w:b w:val="false"/>
          <w:color w:val="000000"/>
          <w:sz w:val="20"/>
          <w:shd w:fill="FFFFFF" w:val="clear"/>
        </w:rPr>
        <w:t>or the “</w:t>
      </w:r>
      <w:r>
        <w:rPr>
          <w:rFonts w:ascii="Arial;sans-serif" w:hAnsi="Arial;sans-serif"/>
          <w:b/>
          <w:color w:val="000000"/>
          <w:sz w:val="20"/>
          <w:shd w:fill="FFFFFF" w:val="clear"/>
        </w:rPr>
        <w:t>Company</w:t>
      </w:r>
      <w:r>
        <w:rPr>
          <w:color w:val="000000"/>
          <w:shd w:fill="FFFFFF" w:val="clear"/>
        </w:rPr>
        <w:t>”</w:t>
      </w:r>
      <w:r>
        <w:rPr>
          <w:rFonts w:ascii="Arial;sans-serif" w:hAnsi="Arial;sans-serif"/>
          <w:b w:val="false"/>
          <w:color w:val="000000"/>
          <w:sz w:val="20"/>
          <w:shd w:fill="FFFFFF" w:val="clear"/>
        </w:rPr>
        <w:t>) (</w:t>
      </w:r>
      <w:r>
        <w:rPr>
          <w:rFonts w:ascii="Arial;sans-serif" w:hAnsi="Arial;sans-serif"/>
          <w:b/>
          <w:color w:val="000000"/>
          <w:sz w:val="20"/>
          <w:shd w:fill="FFFFFF" w:val="clear"/>
        </w:rPr>
        <w:t>TSX: LAR</w:t>
      </w:r>
      <w:r>
        <w:rPr>
          <w:rFonts w:ascii="Arial;sans-serif" w:hAnsi="Arial;sans-serif"/>
          <w:b w:val="false"/>
          <w:color w:val="000000"/>
          <w:sz w:val="20"/>
          <w:shd w:fill="FFFFFF" w:val="clear"/>
        </w:rPr>
        <w:t>) (</w:t>
      </w:r>
      <w:r>
        <w:rPr>
          <w:rFonts w:ascii="Arial;sans-serif" w:hAnsi="Arial;sans-serif"/>
          <w:b/>
          <w:color w:val="000000"/>
          <w:sz w:val="20"/>
          <w:shd w:fill="FFFFFF" w:val="clear"/>
        </w:rPr>
        <w:t>NYSE: LAR</w:t>
      </w:r>
      <w:r>
        <w:rPr>
          <w:rFonts w:ascii="Arial;sans-serif" w:hAnsi="Arial;sans-serif"/>
          <w:b w:val="false"/>
          <w:color w:val="000000"/>
          <w:sz w:val="20"/>
          <w:shd w:fill="FFFFFF" w:val="clear"/>
        </w:rPr>
        <w:t xml:space="preserve">) today announced its second quarter 2026 results. Unless otherwise stated, results are presented in United States dollars on a 100% basis.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Sam Pigott, Lithium Argentina’s CEO</w:t>
      </w:r>
      <w:r>
        <w:rPr>
          <w:rFonts w:ascii="Arial;sans-serif" w:hAnsi="Arial;sans-serif"/>
          <w:b w:val="false"/>
          <w:color w:val="000000"/>
          <w:sz w:val="20"/>
        </w:rPr>
        <w:t xml:space="preserve">, commented: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"Cauchari-Olaroz delivered another quarter of consistent, strong performance, generating more than $141 million of free cash flow from operations. The team safely completed a planned shutdown while advancing optimization and debottlenecking initiatives and remaining on track to achieve production guidance.</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"This cash generation enabled a $114 million reduction in net debt while supporting distributions to the joint venture partners. The operation further strengthened its balance sheet, entering new debt facilities with international banks at an attractive interest rate under 5%, providing added flexibility to support future distributions and fund growth plans.</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20"/>
        </w:rPr>
      </w:pPr>
      <w:r>
        <w:rPr>
          <w:rFonts w:ascii="Arial;sans-serif" w:hAnsi="Arial;sans-serif"/>
          <w:b w:val="false"/>
          <w:color w:val="000000"/>
          <w:sz w:val="20"/>
        </w:rPr>
        <w:t>"As we look ahead, we continue to take a disciplined approach to growth. Together with Ganfeng, we have agreed to a modular approach to Stage 2 that we believe can accelerate the initial 10,000 tpa of growth capacity, leveraging our partner's expertise in the procurement of advanced processing equipment for installation at site. With RIGI approval now in place, early development activities are underway and we look forward to sharing an updated development plan in the coming months.</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"With high-quality, low-cost operations, meaningful cash flow generation and a clear, phased path to growth, we believe the Company is well positioned to deliver long-term value for our shareholders."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153A57"/>
          <w:sz w:val="20"/>
        </w:rPr>
        <w:t xml:space="preserve">Highlights </w:t>
      </w:r>
      <w:r>
        <w:rPr>
          <w:color w:val="933447"/>
        </w:rPr>
        <w:t>    </w:t>
      </w:r>
    </w:p>
    <w:p>
      <w:pPr>
        <w:pStyle w:val="TextBody"/>
        <w:bidi w:val="0"/>
        <w:spacing w:before="0" w:after="0"/>
        <w:jc w:val="left"/>
        <w:rPr/>
      </w:pPr>
      <w:r>
        <w:rPr/>
      </w:r>
    </w:p>
    <w:p>
      <w:pPr>
        <w:pStyle w:val="TextBody"/>
        <w:bidi w:val="0"/>
        <w:spacing w:lineRule="auto" w:line="288" w:before="0" w:after="0"/>
        <w:jc w:val="both"/>
        <w:rPr>
          <w:rFonts w:ascii="Arial;sans-serif" w:hAnsi="Arial;sans-serif"/>
          <w:b/>
          <w:i/>
          <w:color w:val="000000"/>
          <w:sz w:val="20"/>
          <w:u w:val="single"/>
        </w:rPr>
      </w:pPr>
      <w:r>
        <w:rPr>
          <w:rFonts w:ascii="Arial;sans-serif" w:hAnsi="Arial;sans-serif"/>
          <w:b/>
          <w:i/>
          <w:color w:val="000000"/>
          <w:sz w:val="20"/>
          <w:u w:val="single"/>
        </w:rPr>
        <w:t>Cauchari-Olaroz</w:t>
      </w:r>
    </w:p>
    <w:p>
      <w:pPr>
        <w:pStyle w:val="TextBody"/>
        <w:bidi w:val="0"/>
        <w:spacing w:before="0" w:after="0"/>
        <w:jc w:val="both"/>
        <w:rPr/>
      </w:pPr>
      <w:r>
        <w:rPr/>
      </w:r>
    </w:p>
    <w:p>
      <w:pPr>
        <w:pStyle w:val="TextBody"/>
        <w:bidi w:val="0"/>
        <w:spacing w:lineRule="auto" w:line="288" w:before="0" w:after="200"/>
        <w:jc w:val="both"/>
        <w:rPr>
          <w:rFonts w:ascii="Arial;sans-serif" w:hAnsi="Arial;sans-serif"/>
          <w:b w:val="false"/>
          <w:color w:val="000000"/>
          <w:sz w:val="20"/>
        </w:rPr>
      </w:pPr>
      <w:r>
        <w:rPr>
          <w:rFonts w:ascii="Arial;sans-serif" w:hAnsi="Arial;sans-serif"/>
          <w:b w:val="false"/>
          <w:color w:val="000000"/>
          <w:sz w:val="20"/>
        </w:rPr>
        <w:t>The Company holds a 44.8% equity interest in Exar, the operating entity for Cauchari-Olaroz, and exercises joint control over all key decisions. Operational and financial highlights below are presented on a 100% basis.</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Production:</w:t>
      </w:r>
      <w:r>
        <w:rPr>
          <w:color w:val="000000"/>
        </w:rPr>
        <w:t xml:space="preserve"> </w:t>
      </w:r>
      <w:r>
        <w:rPr>
          <w:rFonts w:ascii="Arial;sans-serif" w:hAnsi="Arial;sans-serif"/>
          <w:b w:val="false"/>
          <w:color w:val="000000"/>
          <w:sz w:val="20"/>
        </w:rPr>
        <w:t>Produced 9,280 tonnes of lithium carbonate in the second quarter of 2026 with the operation continuing to perform near design capacity.</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Second quarter production reflected the planned shutdown completed in May 2026 for routine maintenance and plant improvements.</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 xml:space="preserve">The operation averaged 95% of design capacity in the first half of 2026 and remains on track to achieve full-year production guidance of 35,000 - 40,000 tonnes.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Operating Costs:</w:t>
      </w:r>
      <w:r>
        <w:rPr>
          <w:color w:val="000000"/>
        </w:rPr>
        <w:t xml:space="preserve"> </w:t>
      </w:r>
      <w:r>
        <w:rPr>
          <w:rFonts w:ascii="Arial;sans-serif" w:hAnsi="Arial;sans-serif"/>
          <w:b w:val="false"/>
          <w:color w:val="000000"/>
          <w:sz w:val="20"/>
        </w:rPr>
        <w:t>Costs of sales for the second quarter of 2026 were $63 million with cash operating costs of $5,897 per tonne</w:t>
      </w:r>
      <w:r>
        <w:rPr>
          <w:rFonts w:ascii="Arial;sans-serif" w:hAnsi="Arial;sans-serif"/>
          <w:b w:val="false"/>
          <w:color w:val="000000"/>
          <w:sz w:val="13"/>
        </w:rPr>
        <w:t>1</w:t>
      </w:r>
      <w:r>
        <w:rPr>
          <w:color w:val="000000"/>
        </w:rPr>
        <w:t xml:space="preserve"> </w:t>
      </w:r>
      <w:r>
        <w:rPr>
          <w:rFonts w:ascii="Arial;sans-serif" w:hAnsi="Arial;sans-serif"/>
          <w:b w:val="false"/>
          <w:color w:val="000000"/>
          <w:sz w:val="20"/>
        </w:rPr>
        <w:t xml:space="preserve">of lithium carbonate sold. </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 xml:space="preserve">Quarterly costs reflected the planned shutdown, higher energy costs and the impact of a stronger Argentine peso. </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Pricing:</w:t>
      </w:r>
      <w:r>
        <w:rPr>
          <w:color w:val="000000"/>
        </w:rPr>
        <w:t xml:space="preserve"> </w:t>
      </w:r>
      <w:r>
        <w:rPr>
          <w:rFonts w:ascii="Arial;sans-serif" w:hAnsi="Arial;sans-serif"/>
          <w:b w:val="false"/>
          <w:color w:val="000000"/>
          <w:sz w:val="20"/>
        </w:rPr>
        <w:t>Revenue for the second quarter of 2026 was $174 million, reflecting an average realized price</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approximately $19,563 per tonne of lithium carbonate sold, representing a cash operating margin</w:t>
      </w:r>
      <w:r>
        <w:rPr>
          <w:rFonts w:ascii="Arial;sans-serif" w:hAnsi="Arial;sans-serif"/>
          <w:b w:val="false"/>
          <w:color w:val="000000"/>
          <w:sz w:val="13"/>
        </w:rPr>
        <w:t>2</w:t>
      </w:r>
      <w:r>
        <w:rPr>
          <w:color w:val="000000"/>
        </w:rPr>
        <w:t xml:space="preserve"> </w:t>
      </w:r>
      <w:r>
        <w:rPr>
          <w:rFonts w:ascii="Arial;sans-serif" w:hAnsi="Arial;sans-serif"/>
          <w:b w:val="false"/>
          <w:color w:val="000000"/>
          <w:sz w:val="20"/>
        </w:rPr>
        <w:t>of 70%.</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Net Income:</w:t>
      </w:r>
      <w:r>
        <w:rPr>
          <w:color w:val="000000"/>
        </w:rPr>
        <w:t xml:space="preserve"> </w:t>
      </w:r>
      <w:r>
        <w:rPr>
          <w:rFonts w:ascii="Arial;sans-serif" w:hAnsi="Arial;sans-serif"/>
          <w:b w:val="false"/>
          <w:color w:val="000000"/>
          <w:sz w:val="20"/>
        </w:rPr>
        <w:t>Net income for the second quarter of 2026 was $27 million, compared to $49 million for the first quarter of 2026, with the change primarily reflecting a $38 million non-cash deferred tax charge related to accelerated depreciation.</w:t>
      </w:r>
    </w:p>
    <w:p>
      <w:pPr>
        <w:pStyle w:val="TextBody"/>
        <w:bidi w:val="0"/>
        <w:spacing w:lineRule="auto" w:line="240" w:before="0" w:after="0"/>
        <w:jc w:val="left"/>
        <w:rPr/>
      </w:pPr>
      <w:r>
        <w:rPr>
          <w:rFonts w:ascii="Arial;sans-serif" w:hAnsi="Arial;sans-serif"/>
          <w:b w:val="false"/>
          <w:color w:val="000000"/>
          <w:sz w:val="9"/>
        </w:rPr>
        <w:t>1</w:t>
      </w:r>
      <w:r>
        <w:rPr>
          <w:color w:val="000000"/>
        </w:rPr>
        <w:t xml:space="preserve"> </w:t>
      </w:r>
      <w:r>
        <w:rPr>
          <w:rFonts w:ascii="Arial;sans-serif" w:hAnsi="Arial;sans-serif"/>
          <w:b w:val="false"/>
          <w:color w:val="000000"/>
          <w:sz w:val="14"/>
        </w:rPr>
        <w:t>Cash operating costs includes all expenditures incurred at the site such as brine management, lithium plant processing, site and provincial office overheads and inventory adjustments. These costs also include project general and administrative costs and sales logistics costs. Cash operating cost per tonne is a non-GAAP financial measure or ratio and does not have a standardized meaning under IFRS and might not be comparable to similar financial measures disclosed by other issuers. See “Non-IFRS and Other Financial Measures”.</w:t>
      </w:r>
    </w:p>
    <w:p>
      <w:pPr>
        <w:pStyle w:val="TextBody"/>
        <w:bidi w:val="0"/>
        <w:spacing w:lineRule="auto" w:line="24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Refer to section titled “Non-IFRS and Other Financial Measures” below.</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525780"/>
                <wp:effectExtent l="0" t="0" r="0" b="0"/>
                <wp:wrapNone/>
                <wp:docPr id="152" name="Frame6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r>
                              <w:br w:type="page"/>
                            </w:r>
                          </w:p>
                          <w:p>
                            <w:pPr>
                              <w:pStyle w:val="TextBody"/>
                              <w:bidi w:val="0"/>
                              <w:spacing w:before="0" w:after="0"/>
                              <w:jc w:val="center"/>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5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0" descr=""/>
                          <pic:cNvPicPr>
                            <a:picLocks noChangeAspect="1" noChangeArrowheads="1"/>
                          </pic:cNvPicPr>
                        </pic:nvPicPr>
                        <pic:blipFill>
                          <a:blip r:embed="rId89"/>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Adjusted EBITDA</w:t>
      </w:r>
      <w:r>
        <w:rPr>
          <w:rFonts w:ascii="Arial;sans-serif" w:hAnsi="Arial;sans-serif"/>
          <w:b/>
          <w:color w:val="000000"/>
          <w:sz w:val="13"/>
        </w:rPr>
        <w:t>2</w:t>
      </w:r>
      <w:r>
        <w:rPr>
          <w:rFonts w:ascii="Arial;sans-serif" w:hAnsi="Arial;sans-serif"/>
          <w:b/>
          <w:color w:val="000000"/>
          <w:sz w:val="20"/>
        </w:rPr>
        <w:t>:</w:t>
      </w:r>
      <w:r>
        <w:rPr>
          <w:color w:val="000000"/>
        </w:rPr>
        <w:t xml:space="preserve"> </w:t>
      </w:r>
      <w:r>
        <w:rPr>
          <w:rFonts w:ascii="Arial;sans-serif" w:hAnsi="Arial;sans-serif"/>
          <w:b w:val="false"/>
          <w:color w:val="000000"/>
          <w:sz w:val="20"/>
        </w:rPr>
        <w:t>Adjusted EBITDA for the second quarter of 2026 was $110 million, as higher realized prices offset lower sales volumes compared to the first quarter of 2026.</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0"/>
        </w:rPr>
        <w:t>Operating Cash Flow:</w:t>
      </w:r>
      <w:r>
        <w:rPr>
          <w:color w:val="000000"/>
        </w:rPr>
        <w:t xml:space="preserve"> </w:t>
      </w:r>
      <w:r>
        <w:rPr>
          <w:rFonts w:ascii="Arial;sans-serif" w:hAnsi="Arial;sans-serif"/>
          <w:b w:val="false"/>
          <w:color w:val="000000"/>
          <w:sz w:val="20"/>
        </w:rPr>
        <w:t>Operating cash flow for the second quarter of 2026 was $142 million and Free Cash Flow from Operations was $141 million</w:t>
      </w:r>
      <w:r>
        <w:rPr>
          <w:rFonts w:ascii="Arial;sans-serif" w:hAnsi="Arial;sans-serif"/>
          <w:b w:val="false"/>
          <w:color w:val="000000"/>
          <w:sz w:val="13"/>
        </w:rPr>
        <w:t>3</w:t>
      </w:r>
      <w:r>
        <w:rPr>
          <w:rFonts w:ascii="Arial;sans-serif" w:hAnsi="Arial;sans-serif"/>
          <w:b w:val="false"/>
          <w:color w:val="000000"/>
          <w:sz w:val="20"/>
        </w:rPr>
        <w:t>.</w:t>
      </w:r>
    </w:p>
    <w:p>
      <w:pPr>
        <w:pStyle w:val="TextBody"/>
        <w:bidi w:val="0"/>
        <w:spacing w:lineRule="auto" w:line="333" w:before="0" w:after="0"/>
        <w:ind w:left="0" w:right="0" w:hanging="360"/>
        <w:jc w:val="left"/>
        <w:rPr/>
      </w:pPr>
      <w:r>
        <w:rPr>
          <w:color w:val="000000"/>
        </w:rPr>
        <w:t>▪</w:t>
      </w:r>
      <w:r>
        <w:rPr>
          <w:rFonts w:ascii="Arial;sans-serif" w:hAnsi="Arial;sans-serif"/>
          <w:b/>
          <w:color w:val="000000"/>
          <w:sz w:val="20"/>
        </w:rPr>
        <w:t>Liquidity:</w:t>
      </w:r>
      <w:r>
        <w:rPr>
          <w:color w:val="000000"/>
        </w:rPr>
        <w:t xml:space="preserve"> </w:t>
      </w:r>
      <w:r>
        <w:rPr>
          <w:rFonts w:ascii="Arial;sans-serif" w:hAnsi="Arial;sans-serif"/>
          <w:b w:val="false"/>
          <w:color w:val="000000"/>
          <w:sz w:val="20"/>
        </w:rPr>
        <w:t>Cauchari-Olaroz net debt was reduced by $114 million in the second quarter of 2026, after funding $16 million related to cash distributions to Lithium Argentina and Ganfeng.</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Subsequent to quarter-end, Cauchari-Olaroz completed a $170 million debt facility to reduce financing cost, support additional distributions and provide flexibility to advance the operation's growth plans.</w:t>
      </w:r>
    </w:p>
    <w:p>
      <w:pPr>
        <w:pStyle w:val="TextBody"/>
        <w:bidi w:val="0"/>
        <w:spacing w:lineRule="auto" w:line="333" w:before="0" w:after="0"/>
        <w:ind w:left="0" w:right="0" w:hanging="360"/>
        <w:jc w:val="left"/>
        <w:rPr/>
      </w:pPr>
      <w:r>
        <w:rPr>
          <w:color w:val="000000"/>
        </w:rPr>
        <w:t>▪</w:t>
      </w:r>
      <w:r>
        <w:rPr>
          <w:rFonts w:ascii="Arial;sans-serif" w:hAnsi="Arial;sans-serif"/>
          <w:b/>
          <w:color w:val="000000"/>
          <w:sz w:val="20"/>
        </w:rPr>
        <w:t>Carbon Footprint:</w:t>
      </w:r>
      <w:r>
        <w:rPr>
          <w:color w:val="000000"/>
        </w:rPr>
        <w:t xml:space="preserve"> </w:t>
      </w:r>
      <w:r>
        <w:rPr>
          <w:rFonts w:ascii="Arial;sans-serif" w:hAnsi="Arial;sans-serif"/>
          <w:b w:val="false"/>
          <w:color w:val="000000"/>
          <w:sz w:val="20"/>
        </w:rPr>
        <w:t>Cauchari-Olaroz completed an independent, ISO-verified assessment of its carbon footprint of 1.4 tonnes of CO</w:t>
      </w:r>
      <w:r>
        <w:rPr>
          <w:rFonts w:ascii="Arial;sans-serif" w:hAnsi="Arial;sans-serif"/>
          <w:b w:val="false"/>
          <w:color w:val="000000"/>
          <w:sz w:val="13"/>
        </w:rPr>
        <w:t>2</w:t>
      </w:r>
      <w:r>
        <w:rPr>
          <w:rFonts w:ascii="Arial;sans-serif" w:hAnsi="Arial;sans-serif"/>
          <w:b w:val="false"/>
          <w:color w:val="000000"/>
          <w:sz w:val="20"/>
        </w:rPr>
        <w:t>e (Scope 1 and 2) per tonne of lithium carbonate produced in 2025.</w:t>
      </w:r>
    </w:p>
    <w:p>
      <w:pPr>
        <w:pStyle w:val="TextBody"/>
        <w:bidi w:val="0"/>
        <w:spacing w:before="0" w:after="0"/>
        <w:jc w:val="both"/>
        <w:rPr/>
      </w:pPr>
      <w:r>
        <w:rPr/>
      </w:r>
    </w:p>
    <w:p>
      <w:pPr>
        <w:pStyle w:val="TextBody"/>
        <w:bidi w:val="0"/>
        <w:spacing w:lineRule="auto" w:line="333" w:before="0" w:after="200"/>
        <w:jc w:val="both"/>
        <w:rPr>
          <w:rFonts w:ascii="Arial;sans-serif" w:hAnsi="Arial;sans-serif"/>
          <w:b/>
          <w:i/>
          <w:color w:val="000000"/>
          <w:sz w:val="20"/>
          <w:u w:val="single"/>
        </w:rPr>
      </w:pPr>
      <w:r>
        <w:rPr>
          <w:rFonts w:ascii="Arial;sans-serif" w:hAnsi="Arial;sans-serif"/>
          <w:b/>
          <w:i/>
          <w:color w:val="000000"/>
          <w:sz w:val="20"/>
          <w:u w:val="single"/>
        </w:rPr>
        <w:t>Growth Pipeline</w:t>
      </w:r>
    </w:p>
    <w:p>
      <w:pPr>
        <w:pStyle w:val="TextBody"/>
        <w:bidi w:val="0"/>
        <w:spacing w:lineRule="auto" w:line="240" w:before="0" w:after="0"/>
        <w:jc w:val="both"/>
        <w:rPr/>
      </w:pPr>
      <w:r>
        <w:rPr>
          <w:rFonts w:ascii="Arial;sans-serif" w:hAnsi="Arial;sans-serif"/>
          <w:b/>
          <w:color w:val="000000"/>
          <w:sz w:val="20"/>
        </w:rPr>
        <w:t>Stage 2 Expansion:</w:t>
      </w:r>
      <w:r>
        <w:rPr>
          <w:color w:val="000000"/>
        </w:rPr>
        <w:t xml:space="preserve"> </w:t>
      </w:r>
      <w:r>
        <w:rPr>
          <w:rFonts w:ascii="Arial;sans-serif" w:hAnsi="Arial;sans-serif"/>
          <w:b w:val="false"/>
          <w:color w:val="000000"/>
          <w:sz w:val="20"/>
        </w:rPr>
        <w:t>Continued advancing the expansion plan to increase production capacity by 45,000 tonnes per annum ("</w:t>
      </w:r>
      <w:r>
        <w:rPr>
          <w:rFonts w:ascii="Arial;sans-serif" w:hAnsi="Arial;sans-serif"/>
          <w:b/>
          <w:color w:val="000000"/>
          <w:sz w:val="20"/>
        </w:rPr>
        <w:t>tpa</w:t>
      </w:r>
      <w:r>
        <w:rPr>
          <w:rFonts w:ascii="Arial;sans-serif" w:hAnsi="Arial;sans-serif"/>
          <w:b w:val="false"/>
          <w:color w:val="000000"/>
          <w:sz w:val="20"/>
        </w:rPr>
        <w:t>") of LCE at Cauchari-Olaroz (“</w:t>
      </w:r>
      <w:r>
        <w:rPr>
          <w:rFonts w:ascii="Arial;sans-serif" w:hAnsi="Arial;sans-serif"/>
          <w:b/>
          <w:color w:val="000000"/>
          <w:sz w:val="20"/>
        </w:rPr>
        <w:t>Stage 2</w:t>
      </w:r>
      <w:r>
        <w:rPr>
          <w:color w:val="000000"/>
        </w:rPr>
        <w:t>”</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40" w:before="0" w:after="0"/>
        <w:ind w:left="0" w:right="0" w:hanging="360"/>
        <w:jc w:val="both"/>
        <w:rPr/>
      </w:pPr>
      <w:r>
        <w:rPr>
          <w:color w:val="000000"/>
        </w:rPr>
        <w:t>•</w:t>
      </w:r>
      <w:r>
        <w:rPr>
          <w:rFonts w:ascii="Arial;sans-serif" w:hAnsi="Arial;sans-serif"/>
          <w:b/>
          <w:color w:val="000000"/>
          <w:sz w:val="20"/>
        </w:rPr>
        <w:t xml:space="preserve">RIGI Approval: </w:t>
      </w:r>
      <w:r>
        <w:rPr>
          <w:rFonts w:ascii="Arial;sans-serif" w:hAnsi="Arial;sans-serif"/>
          <w:b w:val="false"/>
          <w:color w:val="000000"/>
          <w:sz w:val="20"/>
        </w:rPr>
        <w:t>In May 2026, the Stage 2 expansion was approved under Argentina's Regimen de Incentivo para Grandes Inversiones ("</w:t>
      </w:r>
      <w:r>
        <w:rPr>
          <w:rFonts w:ascii="Arial;sans-serif" w:hAnsi="Arial;sans-serif"/>
          <w:b/>
          <w:color w:val="000000"/>
          <w:sz w:val="20"/>
        </w:rPr>
        <w:t>RIGI</w:t>
      </w:r>
      <w:r>
        <w:rPr>
          <w:rFonts w:ascii="Arial;sans-serif" w:hAnsi="Arial;sans-serif"/>
          <w:b w:val="false"/>
          <w:color w:val="000000"/>
          <w:sz w:val="20"/>
        </w:rPr>
        <w:t>"), providing long-term fiscal stability and enhanced FX and tax benefits.</w:t>
      </w:r>
    </w:p>
    <w:p>
      <w:pPr>
        <w:pStyle w:val="TextBody"/>
        <w:bidi w:val="0"/>
        <w:spacing w:lineRule="auto" w:line="240" w:before="0" w:after="0"/>
        <w:ind w:left="0" w:right="0" w:hanging="360"/>
        <w:jc w:val="both"/>
        <w:rPr/>
      </w:pPr>
      <w:r>
        <w:rPr>
          <w:color w:val="000000"/>
        </w:rPr>
        <w:t>•</w:t>
      </w:r>
      <w:r>
        <w:rPr>
          <w:rFonts w:ascii="Arial;sans-serif" w:hAnsi="Arial;sans-serif"/>
          <w:b/>
          <w:color w:val="000000"/>
          <w:sz w:val="20"/>
        </w:rPr>
        <w:t>Updated Development Plan:</w:t>
      </w:r>
      <w:r>
        <w:rPr>
          <w:color w:val="000000"/>
        </w:rPr>
        <w:t xml:space="preserve"> </w:t>
      </w:r>
      <w:r>
        <w:rPr>
          <w:rFonts w:ascii="Arial;sans-serif" w:hAnsi="Arial;sans-serif"/>
          <w:b w:val="false"/>
          <w:color w:val="000000"/>
          <w:sz w:val="20"/>
        </w:rPr>
        <w:t>An updated development plan for Stage 2 is expected around the end of the third quarter of 2026 reflecting ongoing engineering and development work.</w:t>
      </w:r>
    </w:p>
    <w:p>
      <w:pPr>
        <w:pStyle w:val="TextBody"/>
        <w:bidi w:val="0"/>
        <w:spacing w:lineRule="auto" w:line="240" w:before="0" w:after="0"/>
        <w:ind w:left="0" w:right="0" w:hanging="360"/>
        <w:jc w:val="both"/>
        <w:rPr/>
      </w:pPr>
      <w:r>
        <w:rPr>
          <w:color w:val="000000"/>
        </w:rPr>
        <w:t>•</w:t>
      </w:r>
      <w:r>
        <w:rPr>
          <w:rFonts w:ascii="Arial;sans-serif" w:hAnsi="Arial;sans-serif"/>
          <w:b/>
          <w:color w:val="000000"/>
          <w:sz w:val="20"/>
        </w:rPr>
        <w:t>Modular DLE Approach:</w:t>
      </w:r>
      <w:r>
        <w:rPr>
          <w:color w:val="000000"/>
        </w:rPr>
        <w:t xml:space="preserve"> </w:t>
      </w:r>
      <w:r>
        <w:rPr>
          <w:rFonts w:ascii="Arial;sans-serif" w:hAnsi="Arial;sans-serif"/>
          <w:b w:val="false"/>
          <w:color w:val="000000"/>
          <w:sz w:val="20"/>
        </w:rPr>
        <w:t xml:space="preserve">Together with Ganfeng, the Company is advancing engineering and development of an initial 10,000 tpa LCE modular DLE facility as part of a phased Stage 2 development plan. </w:t>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0"/>
        </w:rPr>
        <w:t>The strategy is designed to accelerate first production, reduce execution risk and optimize capital efficiency by leveraging Ganfeng's expertise in fabricating advanced process equipment for installation at site.</w:t>
      </w:r>
    </w:p>
    <w:p>
      <w:pPr>
        <w:pStyle w:val="TextBody"/>
        <w:bidi w:val="0"/>
        <w:spacing w:lineRule="auto" w:line="240" w:before="0" w:after="0"/>
        <w:ind w:left="0" w:right="0" w:hanging="360"/>
        <w:jc w:val="both"/>
        <w:rPr/>
      </w:pPr>
      <w:r>
        <w:rPr>
          <w:color w:val="000000"/>
        </w:rPr>
        <w:t>•</w:t>
      </w:r>
      <w:r>
        <w:rPr>
          <w:rFonts w:ascii="Arial;sans-serif" w:hAnsi="Arial;sans-serif"/>
          <w:b/>
          <w:color w:val="000000"/>
          <w:sz w:val="20"/>
        </w:rPr>
        <w:t xml:space="preserve">Early Development Activities: </w:t>
      </w:r>
      <w:r>
        <w:rPr>
          <w:rFonts w:ascii="Arial;sans-serif" w:hAnsi="Arial;sans-serif"/>
          <w:b w:val="false"/>
          <w:color w:val="000000"/>
          <w:sz w:val="20"/>
        </w:rPr>
        <w:t xml:space="preserve">Cauchari-Olaroz has approved early development activities for Stage 2, including additional production wells, infrastructure and site preparation, under existing operating permits. </w:t>
      </w:r>
    </w:p>
    <w:p>
      <w:pPr>
        <w:pStyle w:val="TextBody"/>
        <w:bidi w:val="0"/>
        <w:spacing w:lineRule="auto" w:line="240" w:before="0" w:after="0"/>
        <w:ind w:left="0" w:right="0" w:hanging="360"/>
        <w:jc w:val="both"/>
        <w:rPr/>
      </w:pPr>
      <w:r>
        <w:rPr>
          <w:color w:val="000000"/>
        </w:rPr>
        <w:t>◦</w:t>
      </w:r>
      <w:r>
        <w:rPr>
          <w:rFonts w:ascii="Arial;sans-serif" w:hAnsi="Arial;sans-serif"/>
          <w:b w:val="false"/>
          <w:color w:val="000000"/>
          <w:sz w:val="20"/>
        </w:rPr>
        <w:t>These activities are expected to advance the Stage 2 expansion plan and contribute toward investment under RIGI, while strengthening the existing operation and supporting sustained production above current design capacity.</w:t>
      </w:r>
    </w:p>
    <w:p>
      <w:pPr>
        <w:pStyle w:val="TextBody"/>
        <w:bidi w:val="0"/>
        <w:spacing w:lineRule="auto" w:line="240" w:before="0" w:after="0"/>
        <w:ind w:left="0" w:right="0" w:hanging="360"/>
        <w:jc w:val="both"/>
        <w:rPr/>
      </w:pPr>
      <w:r>
        <w:rPr>
          <w:color w:val="000000"/>
        </w:rPr>
        <w:t>•</w:t>
      </w:r>
      <w:r>
        <w:rPr>
          <w:rFonts w:ascii="Arial;sans-serif" w:hAnsi="Arial;sans-serif"/>
          <w:b/>
          <w:color w:val="000000"/>
          <w:sz w:val="20"/>
        </w:rPr>
        <w:t xml:space="preserve">Environmental Permitting: </w:t>
      </w:r>
      <w:r>
        <w:rPr>
          <w:rFonts w:ascii="Arial;sans-serif" w:hAnsi="Arial;sans-serif"/>
          <w:b w:val="false"/>
          <w:color w:val="000000"/>
          <w:sz w:val="20"/>
        </w:rPr>
        <w:t>The Environmental Impact Assessment ("</w:t>
      </w:r>
      <w:r>
        <w:rPr>
          <w:rFonts w:ascii="Arial;sans-serif" w:hAnsi="Arial;sans-serif"/>
          <w:b/>
          <w:color w:val="000000"/>
          <w:sz w:val="20"/>
        </w:rPr>
        <w:t>EIA</w:t>
      </w:r>
      <w:r>
        <w:rPr>
          <w:rFonts w:ascii="Arial;sans-serif" w:hAnsi="Arial;sans-serif"/>
          <w:b w:val="false"/>
          <w:color w:val="000000"/>
          <w:sz w:val="20"/>
        </w:rPr>
        <w:t>") application for Stage 2 has been submitted, with environmental approval process underway.</w:t>
      </w:r>
    </w:p>
    <w:p>
      <w:pPr>
        <w:pStyle w:val="TextBody"/>
        <w:bidi w:val="0"/>
        <w:spacing w:before="0" w:after="0"/>
        <w:jc w:val="both"/>
        <w:rPr/>
      </w:pPr>
      <w:r>
        <w:rPr/>
      </w:r>
    </w:p>
    <w:p>
      <w:pPr>
        <w:pStyle w:val="TextBody"/>
        <w:bidi w:val="0"/>
        <w:spacing w:lineRule="auto" w:line="240" w:before="0" w:after="120"/>
        <w:jc w:val="both"/>
        <w:rPr/>
      </w:pPr>
      <w:r>
        <w:rPr>
          <w:rFonts w:ascii="Arial;sans-serif" w:hAnsi="Arial;sans-serif"/>
          <w:b/>
          <w:color w:val="000000"/>
          <w:sz w:val="20"/>
        </w:rPr>
        <w:t>PPG:</w:t>
      </w:r>
      <w:r>
        <w:rPr>
          <w:color w:val="000000"/>
        </w:rPr>
        <w:t xml:space="preserve"> </w:t>
      </w:r>
      <w:r>
        <w:rPr>
          <w:rFonts w:ascii="Arial;sans-serif" w:hAnsi="Arial;sans-serif"/>
          <w:b w:val="false"/>
          <w:color w:val="000000"/>
          <w:sz w:val="20"/>
        </w:rPr>
        <w:t>An integrated development plan targeting capacity of 150,000 tpa of LCE across three phases, leveraging shared infrastructure and the consolidated resource base.</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0"/>
        </w:rPr>
        <w:t>Ganfeng and Lithium Argentina continue to advance financing options with potential customers and strategic partners for offtake and minority ownership interests.</w:t>
      </w:r>
    </w:p>
    <w:p>
      <w:pPr>
        <w:pStyle w:val="TextBody"/>
        <w:bidi w:val="0"/>
        <w:spacing w:lineRule="auto" w:line="240" w:before="0" w:after="0"/>
        <w:ind w:left="0" w:right="0" w:hanging="360"/>
        <w:jc w:val="left"/>
        <w:rPr/>
      </w:pPr>
      <w:r>
        <w:rPr>
          <w:color w:val="000000"/>
        </w:rPr>
        <w:t>•</w:t>
      </w:r>
      <w:r>
        <w:rPr>
          <w:rFonts w:ascii="Arial;sans-serif" w:hAnsi="Arial;sans-serif"/>
          <w:b w:val="false"/>
          <w:color w:val="000000"/>
          <w:sz w:val="20"/>
        </w:rPr>
        <w:t xml:space="preserve">The RIGI application was submitted in the first quarter of 2026, with approval expected by the end of 2026. </w:t>
      </w:r>
    </w:p>
    <w:p>
      <w:pPr>
        <w:pStyle w:val="TextBody"/>
        <w:bidi w:val="0"/>
        <w:spacing w:before="0" w:after="0"/>
        <w:jc w:val="left"/>
        <w:rPr/>
      </w:pPr>
      <w:r>
        <w:rPr/>
      </w:r>
    </w:p>
    <w:p>
      <w:pPr>
        <w:pStyle w:val="TextBody"/>
        <w:bidi w:val="0"/>
        <w:spacing w:lineRule="auto" w:line="333" w:before="0" w:after="200"/>
        <w:jc w:val="both"/>
        <w:rPr>
          <w:rFonts w:ascii="Arial;sans-serif" w:hAnsi="Arial;sans-serif"/>
          <w:b/>
          <w:i/>
          <w:color w:val="000000"/>
          <w:sz w:val="20"/>
          <w:u w:val="single"/>
        </w:rPr>
      </w:pPr>
      <w:r>
        <w:rPr>
          <w:rFonts w:ascii="Arial;sans-serif" w:hAnsi="Arial;sans-serif"/>
          <w:b/>
          <w:i/>
          <w:color w:val="000000"/>
          <w:sz w:val="20"/>
          <w:u w:val="single"/>
        </w:rPr>
        <w:t>Lithium Argentina Financial and Corporate</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As of June 30, 2026, Lithium Argentina held $100 million in cash and cash equivalents and $230 million in total liquidity, including $130 million undrawn 6-year debt facility.</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Subsequent to quarter end, Cauchari-Olaroz distributed an additional $27 million to the Company and expects to receive further distributions later in 2026.</w:t>
      </w:r>
    </w:p>
    <w:p>
      <w:pPr>
        <w:pStyle w:val="TextBody"/>
        <w:bidi w:val="0"/>
        <w:spacing w:lineRule="auto" w:line="333" w:before="0" w:after="0"/>
        <w:ind w:left="0" w:right="0" w:hanging="360"/>
        <w:jc w:val="left"/>
        <w:rPr/>
      </w:pPr>
      <w:r>
        <w:rPr>
          <w:color w:val="000000"/>
        </w:rPr>
        <w:t>▪</w:t>
      </w:r>
      <w:r>
        <w:rPr>
          <w:rFonts w:ascii="Arial;sans-serif" w:hAnsi="Arial;sans-serif"/>
          <w:b w:val="false"/>
          <w:color w:val="000000"/>
          <w:sz w:val="20"/>
        </w:rPr>
        <w:t>The Company continued advancing plans for a secondary listing on the Australian Securities Exchange ("</w:t>
      </w:r>
      <w:r>
        <w:rPr>
          <w:rFonts w:ascii="Arial;sans-serif" w:hAnsi="Arial;sans-serif"/>
          <w:b/>
          <w:color w:val="000000"/>
          <w:sz w:val="20"/>
        </w:rPr>
        <w:t>ASX</w:t>
      </w:r>
      <w:r>
        <w:rPr>
          <w:rFonts w:ascii="Arial;sans-serif" w:hAnsi="Arial;sans-serif"/>
          <w:b w:val="false"/>
          <w:color w:val="000000"/>
          <w:sz w:val="20"/>
        </w:rPr>
        <w:t>"), complementing the Company's NYSE listing and broadening access for Asia-Pacific investors.</w:t>
      </w:r>
    </w:p>
    <w:p>
      <w:pPr>
        <w:pStyle w:val="TextBody"/>
        <w:bidi w:val="0"/>
        <w:spacing w:lineRule="auto" w:line="240" w:before="0" w:after="0"/>
        <w:jc w:val="left"/>
        <w:rPr/>
      </w:pPr>
      <w:r>
        <w:rPr>
          <w:rFonts w:ascii="Arial;sans-serif" w:hAnsi="Arial;sans-serif"/>
          <w:b w:val="false"/>
          <w:color w:val="000000"/>
          <w:sz w:val="9"/>
        </w:rPr>
        <w:t>2</w:t>
      </w:r>
      <w:r>
        <w:rPr>
          <w:color w:val="000000"/>
        </w:rPr>
        <w:t xml:space="preserve"> </w:t>
      </w:r>
      <w:r>
        <w:rPr>
          <w:rFonts w:ascii="Arial;sans-serif" w:hAnsi="Arial;sans-serif"/>
          <w:b w:val="false"/>
          <w:color w:val="000000"/>
          <w:sz w:val="14"/>
        </w:rPr>
        <w:t>Refer to section titled “Non-IFRS and Other Financial Measures” below.</w:t>
      </w:r>
    </w:p>
    <w:p>
      <w:pPr>
        <w:pStyle w:val="TextBody"/>
        <w:bidi w:val="0"/>
        <w:spacing w:lineRule="auto" w:line="240"/>
        <w:jc w:val="left"/>
        <w:rPr/>
      </w:pPr>
      <w:r>
        <w:rPr>
          <w:rFonts w:ascii="Arial;sans-serif" w:hAnsi="Arial;sans-serif"/>
          <w:b w:val="false"/>
          <w:color w:val="000000"/>
          <w:sz w:val="9"/>
        </w:rPr>
        <w:t>3</w:t>
      </w:r>
      <w:r>
        <w:rPr>
          <w:color w:val="000000"/>
        </w:rPr>
        <w:t xml:space="preserve"> </w:t>
      </w:r>
      <w:r>
        <w:rPr>
          <w:rFonts w:ascii="Arial;sans-serif" w:hAnsi="Arial;sans-serif"/>
          <w:b w:val="false"/>
          <w:color w:val="000000"/>
          <w:sz w:val="14"/>
        </w:rPr>
        <w:t>Free Cash Flow from Operations is Exar net cash generated from operating activities, less capital expenditures and before the deduction of development capital expenditures, including the payment of capitalized interest. Free cash flow from Operations at Exar does not represent cash flow available to the Company at its discretion. Under the shareholder agreement governing Cauchari-Olaroz, excess cash flow (as defined therein) is distributed between the Company and Ganfeng.</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525780"/>
                <wp:effectExtent l="0" t="0" r="0" b="0"/>
                <wp:wrapNone/>
                <wp:docPr id="154" name="Frame6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55"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61" descr=""/>
                          <pic:cNvPicPr>
                            <a:picLocks noChangeAspect="1" noChangeArrowheads="1"/>
                          </pic:cNvPicPr>
                        </pic:nvPicPr>
                        <pic:blipFill>
                          <a:blip r:embed="rId90"/>
                          <a:stretch>
                            <a:fillRect/>
                          </a:stretch>
                        </pic:blipFill>
                        <pic:spPr bwMode="auto">
                          <a:xfrm>
                            <a:off x="0" y="0"/>
                            <a:ext cx="2009775" cy="228600"/>
                          </a:xfrm>
                          <a:prstGeom prst="rect">
                            <a:avLst/>
                          </a:prstGeom>
                        </pic:spPr>
                      </pic:pic>
                    </a:graphicData>
                  </a:graphic>
                </wp:inline>
              </w:drawing>
            </w:r>
          </w:p>
        </w:tc>
      </w:tr>
    </w:tbl>
    <w:p>
      <w:pPr>
        <w:pStyle w:val="TextBody"/>
        <w:bidi w:val="0"/>
        <w:spacing w:before="0" w:after="0"/>
        <w:jc w:val="both"/>
        <w:rPr/>
      </w:pPr>
      <w:r>
        <w:rPr/>
      </w:r>
    </w:p>
    <w:p>
      <w:pPr>
        <w:pStyle w:val="TextBody"/>
        <w:bidi w:val="0"/>
        <w:spacing w:before="120" w:after="283"/>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4448175" cy="1495425"/>
            <wp:effectExtent l="0" t="0" r="0" b="0"/>
            <wp:docPr id="156"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62" descr=""/>
                    <pic:cNvPicPr>
                      <a:picLocks noChangeAspect="1" noChangeArrowheads="1"/>
                    </pic:cNvPicPr>
                  </pic:nvPicPr>
                  <pic:blipFill>
                    <a:blip r:embed="rId91"/>
                    <a:stretch>
                      <a:fillRect/>
                    </a:stretch>
                  </pic:blipFill>
                  <pic:spPr bwMode="auto">
                    <a:xfrm>
                      <a:off x="0" y="0"/>
                      <a:ext cx="4448175" cy="14954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525780"/>
                <wp:effectExtent l="0" t="0" r="0" b="0"/>
                <wp:wrapNone/>
                <wp:docPr id="157" name="Frame6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5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63" descr=""/>
                          <pic:cNvPicPr>
                            <a:picLocks noChangeAspect="1" noChangeArrowheads="1"/>
                          </pic:cNvPicPr>
                        </pic:nvPicPr>
                        <pic:blipFill>
                          <a:blip r:embed="rId92"/>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307" w:before="0" w:after="0"/>
        <w:jc w:val="both"/>
        <w:rPr>
          <w:rFonts w:ascii="Arial;sans-serif" w:hAnsi="Arial;sans-serif"/>
          <w:b/>
          <w:color w:val="153A57"/>
          <w:sz w:val="20"/>
        </w:rPr>
      </w:pPr>
      <w:r>
        <w:rPr>
          <w:rFonts w:ascii="Arial;sans-serif" w:hAnsi="Arial;sans-serif"/>
          <w:b/>
          <w:color w:val="153A57"/>
          <w:sz w:val="20"/>
        </w:rPr>
        <w:t>FINANCIAL RESULTS</w:t>
      </w:r>
    </w:p>
    <w:p>
      <w:pPr>
        <w:pStyle w:val="TextBody"/>
        <w:bidi w:val="0"/>
        <w:spacing w:before="0" w:after="0"/>
        <w:jc w:val="both"/>
        <w:rPr/>
      </w:pPr>
      <w:r>
        <w:rPr/>
      </w:r>
    </w:p>
    <w:p>
      <w:pPr>
        <w:pStyle w:val="TextBody"/>
        <w:bidi w:val="0"/>
        <w:spacing w:lineRule="auto" w:line="307" w:before="0" w:after="0"/>
        <w:jc w:val="both"/>
        <w:rPr>
          <w:rFonts w:ascii="Arial;sans-serif" w:hAnsi="Arial;sans-serif"/>
          <w:b w:val="false"/>
          <w:color w:val="000000"/>
          <w:sz w:val="20"/>
        </w:rPr>
      </w:pPr>
      <w:r>
        <w:rPr>
          <w:rFonts w:ascii="Arial;sans-serif" w:hAnsi="Arial;sans-serif"/>
          <w:b w:val="false"/>
          <w:color w:val="000000"/>
          <w:sz w:val="20"/>
        </w:rPr>
        <w:t>Selected consolidated financial information of the Company is presented as follows:</w:t>
      </w:r>
    </w:p>
    <w:p>
      <w:pPr>
        <w:pStyle w:val="TextBody"/>
        <w:bidi w:val="0"/>
        <w:spacing w:before="0" w:after="0"/>
        <w:jc w:val="left"/>
        <w:rPr/>
      </w:pPr>
      <w:r>
        <w:rPr/>
      </w:r>
    </w:p>
    <w:tbl>
      <w:tblPr>
        <w:tblW w:w="6580" w:type="dxa"/>
        <w:jc w:val="left"/>
        <w:tblInd w:w="0" w:type="dxa"/>
        <w:tblLayout w:type="fixed"/>
        <w:tblCellMar>
          <w:top w:w="28" w:type="dxa"/>
          <w:left w:w="28" w:type="dxa"/>
          <w:bottom w:w="28" w:type="dxa"/>
          <w:right w:w="28" w:type="dxa"/>
        </w:tblCellMar>
      </w:tblPr>
      <w:tblGrid>
        <w:gridCol w:w="1417"/>
        <w:gridCol w:w="1246"/>
        <w:gridCol w:w="1251"/>
        <w:gridCol w:w="413"/>
        <w:gridCol w:w="413"/>
        <w:gridCol w:w="413"/>
        <w:gridCol w:w="413"/>
        <w:gridCol w:w="413"/>
        <w:gridCol w:w="601"/>
      </w:tblGrid>
      <w:tr>
        <w:trPr/>
        <w:tc>
          <w:tcPr>
            <w:tcW w:w="1417"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op w:val="single" w:sz="20" w:space="0" w:color="153A5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results</w:t>
            </w:r>
          </w:p>
        </w:tc>
        <w:tc>
          <w:tcPr>
            <w:tcW w:w="2666" w:type="dxa"/>
            <w:gridSpan w:val="6"/>
            <w:tcBorders>
              <w:top w:val="single" w:sz="20" w:space="0" w:color="153A57"/>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Three Months Ended June 30,</w:t>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US$ million except per share information)</w:t>
            </w:r>
          </w:p>
        </w:tc>
        <w:tc>
          <w:tcPr>
            <w:tcW w:w="123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2026</w:t>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2025</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3914"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7" w:before="0" w:after="0"/>
              <w:jc w:val="both"/>
              <w:rPr>
                <w:rFonts w:ascii="Arial;sans-serif" w:hAnsi="Arial;sans-serif"/>
                <w:b w:val="false"/>
                <w:color w:val="000000"/>
                <w:sz w:val="18"/>
              </w:rPr>
            </w:pPr>
            <w:r>
              <w:rPr>
                <w:rFonts w:ascii="Arial;sans-serif" w:hAnsi="Arial;sans-serif"/>
                <w:b w:val="false"/>
                <w:color w:val="000000"/>
                <w:sz w:val="18"/>
              </w:rPr>
              <w:t>Income/(expenses)</w:t>
            </w:r>
          </w:p>
        </w:tc>
        <w:tc>
          <w:tcPr>
            <w:tcW w:w="123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6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307" w:before="0" w:after="0"/>
              <w:jc w:val="both"/>
              <w:rPr>
                <w:rFonts w:ascii="Arial;sans-serif" w:hAnsi="Arial;sans-serif"/>
                <w:b w:val="false"/>
                <w:color w:val="000000"/>
                <w:sz w:val="18"/>
              </w:rPr>
            </w:pPr>
            <w:r>
              <w:rPr>
                <w:rFonts w:ascii="Arial;sans-serif" w:hAnsi="Arial;sans-serif"/>
                <w:b w:val="false"/>
                <w:color w:val="000000"/>
                <w:sz w:val="18"/>
              </w:rPr>
              <w:t>Net income/(loss)</w:t>
            </w:r>
          </w:p>
        </w:tc>
        <w:tc>
          <w:tcPr>
            <w:tcW w:w="123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307" w:before="0" w:after="0"/>
              <w:jc w:val="both"/>
              <w:rPr>
                <w:rFonts w:ascii="Arial;sans-serif" w:hAnsi="Arial;sans-serif"/>
                <w:b w:val="false"/>
                <w:color w:val="000000"/>
                <w:sz w:val="18"/>
              </w:rPr>
            </w:pPr>
            <w:r>
              <w:rPr>
                <w:rFonts w:ascii="Arial;sans-serif" w:hAnsi="Arial;sans-serif"/>
                <w:b w:val="false"/>
                <w:color w:val="000000"/>
                <w:sz w:val="18"/>
              </w:rPr>
              <w:t>Income/(loss) per share – basic</w:t>
            </w:r>
          </w:p>
        </w:tc>
        <w:tc>
          <w:tcPr>
            <w:tcW w:w="826" w:type="dxa"/>
            <w:gridSpan w:val="2"/>
            <w:tcBorders/>
            <w:shd w:fill="E5E5E5"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13"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7" w:before="0" w:after="0"/>
              <w:jc w:val="both"/>
              <w:rPr>
                <w:rFonts w:ascii="Arial;sans-serif" w:hAnsi="Arial;sans-serif"/>
                <w:b w:val="false"/>
                <w:color w:val="000000"/>
                <w:sz w:val="18"/>
              </w:rPr>
            </w:pPr>
            <w:r>
              <w:rPr>
                <w:rFonts w:ascii="Arial;sans-serif" w:hAnsi="Arial;sans-serif"/>
                <w:b w:val="false"/>
                <w:color w:val="000000"/>
                <w:sz w:val="18"/>
              </w:rPr>
              <w:t>Income/(loss) per share – diluted</w:t>
            </w:r>
          </w:p>
        </w:tc>
        <w:tc>
          <w:tcPr>
            <w:tcW w:w="826" w:type="dxa"/>
            <w:gridSpan w:val="2"/>
            <w:tcBorders>
              <w:bottom w:val="single" w:sz="8" w:space="0" w:color="000000"/>
            </w:tcBorders>
            <w:shd w:fill="E5E5E5"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413" w:type="dxa"/>
            <w:tcBorders>
              <w:bottom w:val="single" w:sz="8" w:space="0" w:color="000000"/>
            </w:tcBorders>
            <w:shd w:fill="E5E5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601"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5444" w:type="dxa"/>
        <w:jc w:val="left"/>
        <w:tblInd w:w="0" w:type="dxa"/>
        <w:tblLayout w:type="fixed"/>
        <w:tblCellMar>
          <w:top w:w="28" w:type="dxa"/>
          <w:left w:w="28" w:type="dxa"/>
          <w:bottom w:w="28" w:type="dxa"/>
          <w:right w:w="28" w:type="dxa"/>
        </w:tblCellMar>
      </w:tblPr>
      <w:tblGrid>
        <w:gridCol w:w="847"/>
        <w:gridCol w:w="745"/>
        <w:gridCol w:w="748"/>
        <w:gridCol w:w="429"/>
        <w:gridCol w:w="429"/>
        <w:gridCol w:w="431"/>
        <w:gridCol w:w="530"/>
        <w:gridCol w:w="530"/>
        <w:gridCol w:w="755"/>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20" w:space="0" w:color="153A57"/>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Financial results</w:t>
            </w:r>
          </w:p>
        </w:tc>
        <w:tc>
          <w:tcPr>
            <w:tcW w:w="1289" w:type="dxa"/>
            <w:gridSpan w:val="3"/>
            <w:tcBorders>
              <w:top w:val="single" w:sz="20" w:space="0" w:color="153A57"/>
            </w:tcBorders>
            <w:shd w:fill="E5E5E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June 30, 2026</w:t>
            </w:r>
          </w:p>
        </w:tc>
        <w:tc>
          <w:tcPr>
            <w:tcW w:w="1815" w:type="dxa"/>
            <w:gridSpan w:val="3"/>
            <w:tcBorders>
              <w:top w:val="single" w:sz="20" w:space="0" w:color="153A57"/>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December 31, 2025</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 US$ million)</w:t>
            </w:r>
          </w:p>
        </w:tc>
        <w:tc>
          <w:tcPr>
            <w:tcW w:w="1289" w:type="dxa"/>
            <w:gridSpan w:val="3"/>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w:t>
            </w:r>
          </w:p>
        </w:tc>
      </w:tr>
      <w:tr>
        <w:trPr/>
        <w:tc>
          <w:tcPr>
            <w:tcW w:w="2340" w:type="dxa"/>
            <w:gridSpan w:val="3"/>
            <w:tcBorders>
              <w:top w:val="single" w:sz="2" w:space="0" w:color="000000"/>
            </w:tcBorders>
            <w:shd w:fill="FFFFFF" w:val="clear"/>
            <w:tcMar>
              <w:top w:w="3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289" w:type="dxa"/>
            <w:gridSpan w:val="3"/>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99.7</w:t>
            </w:r>
          </w:p>
        </w:tc>
        <w:tc>
          <w:tcPr>
            <w:tcW w:w="18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61.1</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858" w:type="dxa"/>
            <w:gridSpan w:val="2"/>
            <w:tcBorders/>
            <w:shd w:fill="E5E5E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1,152.5 </w:t>
            </w:r>
          </w:p>
        </w:tc>
        <w:tc>
          <w:tcPr>
            <w:tcW w:w="431"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1,099.8 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307" w:before="0" w:after="0"/>
              <w:jc w:val="left"/>
              <w:rPr>
                <w:rFonts w:ascii="Arial;sans-serif" w:hAnsi="Arial;sans-serif"/>
                <w:b w:val="false"/>
                <w:color w:val="000000"/>
                <w:sz w:val="18"/>
              </w:rPr>
            </w:pPr>
            <w:r>
              <w:rPr>
                <w:rFonts w:ascii="Arial;sans-serif" w:hAnsi="Arial;sans-serif"/>
                <w:b w:val="false"/>
                <w:color w:val="000000"/>
                <w:sz w:val="18"/>
              </w:rPr>
              <w:t>Total liabilities</w:t>
            </w:r>
          </w:p>
        </w:tc>
        <w:tc>
          <w:tcPr>
            <w:tcW w:w="858" w:type="dxa"/>
            <w:gridSpan w:val="2"/>
            <w:tcBorders>
              <w:bottom w:val="single" w:sz="8" w:space="0" w:color="000000"/>
            </w:tcBorders>
            <w:shd w:fill="E5E5E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(312.9)</w:t>
            </w:r>
          </w:p>
        </w:tc>
        <w:tc>
          <w:tcPr>
            <w:tcW w:w="431" w:type="dxa"/>
            <w:tcBorders>
              <w:bottom w:val="single" w:sz="8" w:space="0" w:color="000000"/>
            </w:tcBorders>
            <w:shd w:fill="E5E5E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w:t>
            </w:r>
          </w:p>
        </w:tc>
        <w:tc>
          <w:tcPr>
            <w:tcW w:w="75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the three months ended June 30, 2026, the Company reported net income of $1.3 million, compared to a net loss of $4.1 million in Q2 2025. The change was primarily attributable to the Company's share of income from the Cauchari-Olaroz Project of $12.3 million in Q2 2026, compared to a share of loss of $0.4 million in Q2 2025, reflecting improved operating results at Exar due to higher realized lithium carbonate prices, partially offset by lower finance and other income and higher transaction costs.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news release should be read in conjunction with Lithium Argentina’s unaudited condensed consolidated interim financial statements and management's discussion and analysis for the three and six months ended June 30, 2026, which are available on SEDAR+ and EDGAR. All amounts are in U.S. dollars unless otherwise indicated.</w:t>
      </w:r>
    </w:p>
    <w:p>
      <w:pPr>
        <w:pStyle w:val="TextBody"/>
        <w:bidi w:val="0"/>
        <w:spacing w:lineRule="auto" w:line="288" w:before="360" w:after="283"/>
        <w:jc w:val="both"/>
        <w:rPr>
          <w:rFonts w:ascii="Arial;sans-serif" w:hAnsi="Arial;sans-serif"/>
          <w:b/>
          <w:color w:val="153A57"/>
          <w:sz w:val="20"/>
        </w:rPr>
      </w:pPr>
      <w:r>
        <w:rPr>
          <w:rFonts w:ascii="Arial;sans-serif" w:hAnsi="Arial;sans-serif"/>
          <w:b/>
          <w:color w:val="153A57"/>
          <w:sz w:val="20"/>
        </w:rPr>
        <w:t xml:space="preserve">NON-IFRS AND OTHER FINANCIAL MEASURES </w:t>
      </w:r>
    </w:p>
    <w:p>
      <w:pPr>
        <w:pStyle w:val="TextBody"/>
        <w:bidi w:val="0"/>
        <w:spacing w:before="0" w:after="0"/>
        <w:jc w:val="left"/>
        <w:rPr/>
      </w:pPr>
      <w:r>
        <w:rPr/>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Exar Cash Operating Costs and Total Cash Costs per Tonne</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Lithium Argentina reports Exar’s “</w:t>
      </w:r>
      <w:r>
        <w:rPr>
          <w:rFonts w:ascii="Arial;sans-serif" w:hAnsi="Arial;sans-serif"/>
          <w:b/>
          <w:color w:val="000000"/>
          <w:sz w:val="20"/>
        </w:rPr>
        <w:t>Cash Operating Costs per tonne</w:t>
      </w:r>
      <w:r>
        <w:rPr>
          <w:color w:val="000000"/>
        </w:rPr>
        <w:t xml:space="preserve">” </w:t>
      </w:r>
      <w:r>
        <w:rPr>
          <w:rFonts w:ascii="Arial;sans-serif" w:hAnsi="Arial;sans-serif"/>
          <w:b w:val="false"/>
          <w:color w:val="000000"/>
          <w:sz w:val="20"/>
        </w:rPr>
        <w:t>and “</w:t>
      </w:r>
      <w:r>
        <w:rPr>
          <w:rFonts w:ascii="Arial;sans-serif" w:hAnsi="Arial;sans-serif"/>
          <w:b/>
          <w:color w:val="000000"/>
          <w:sz w:val="20"/>
        </w:rPr>
        <w:t>Total Cash Costs per tonne</w:t>
      </w:r>
      <w:r>
        <w:rPr>
          <w:color w:val="000000"/>
        </w:rPr>
        <w:t xml:space="preserve">” </w:t>
      </w:r>
      <w:r>
        <w:rPr>
          <w:rFonts w:ascii="Arial;sans-serif" w:hAnsi="Arial;sans-serif"/>
          <w:b w:val="false"/>
          <w:color w:val="000000"/>
          <w:sz w:val="20"/>
        </w:rPr>
        <w:t>as key non-GAAP financial measures or ratios. These non-GAAP financial measures or ratios do not have a standardized meaning under IFRS and might not be comparable to similar financial measures disclosed by other issuers. The most directly comparable IFRS measure is Exar's Cost of Sales. These metrics provide investors with insight into the Company’s cost structure by excluding non-cash and non-operating items, thereby enabling better comparability of operating performance. Cash operating margin is a related non-GAAP ratio, defined as Exar's revenue less Cash Operating Costs (C1), divided by revenue. It is a performance measure and not a measure of liquidity, and the most directly comparable IFRS measure is Exar's gross profit.</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Cash Operating Cost</w:t>
      </w:r>
      <w:r>
        <w:rPr>
          <w:color w:val="000000"/>
        </w:rPr>
        <w:t xml:space="preserve"> </w:t>
      </w:r>
      <w:r>
        <w:rPr>
          <w:rFonts w:ascii="Arial;sans-serif" w:hAnsi="Arial;sans-serif"/>
          <w:b w:val="false"/>
          <w:color w:val="000000"/>
          <w:sz w:val="20"/>
        </w:rPr>
        <w:t>(C1) includes all expenditures incurred at the site, such as brine management, lithium plant processing, site and provincial office overheads, and inventory adjustments. These costs also include project general and administrative costs and sales logistics costs.</w:t>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525780"/>
                <wp:effectExtent l="0" t="0" r="0" b="0"/>
                <wp:wrapNone/>
                <wp:docPr id="159" name="Frame6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6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64" descr=""/>
                          <pic:cNvPicPr>
                            <a:picLocks noChangeAspect="1" noChangeArrowheads="1"/>
                          </pic:cNvPicPr>
                        </pic:nvPicPr>
                        <pic:blipFill>
                          <a:blip r:embed="rId93"/>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88" w:before="0" w:after="0"/>
        <w:jc w:val="both"/>
        <w:rPr/>
      </w:pPr>
      <w:r>
        <w:rPr>
          <w:rFonts w:ascii="Arial;sans-serif" w:hAnsi="Arial;sans-serif"/>
          <w:b/>
          <w:color w:val="000000"/>
          <w:sz w:val="20"/>
        </w:rPr>
        <w:t>Total Cash Costs</w:t>
      </w:r>
      <w:r>
        <w:rPr>
          <w:color w:val="000000"/>
        </w:rPr>
        <w:t xml:space="preserve"> </w:t>
      </w:r>
      <w:r>
        <w:rPr>
          <w:rFonts w:ascii="Arial;sans-serif" w:hAnsi="Arial;sans-serif"/>
          <w:b w:val="false"/>
          <w:color w:val="000000"/>
          <w:sz w:val="20"/>
        </w:rPr>
        <w:t>(C2) include all C1 costs, along with selling costs, export duties (net of refunds) and provincial royalties. Tonnes are reported on a tonnes sold basis at FOB Buenos Aires port. Exar covers the cost of transporting lithium carbonate to the port, while the delivery cost to the buyer's factory in China, along with processing and other costs are subtracted from the sales price.</w:t>
      </w:r>
    </w:p>
    <w:p>
      <w:pPr>
        <w:pStyle w:val="TextBody"/>
        <w:bidi w:val="0"/>
        <w:spacing w:lineRule="auto" w:line="288" w:before="200" w:after="60"/>
        <w:jc w:val="left"/>
        <w:rPr>
          <w:rFonts w:ascii="Arial;sans-serif" w:hAnsi="Arial;sans-serif"/>
          <w:b/>
          <w:i/>
          <w:color w:val="000000"/>
          <w:sz w:val="20"/>
        </w:rPr>
      </w:pPr>
      <w:r>
        <w:rPr>
          <w:rFonts w:ascii="Arial;sans-serif" w:hAnsi="Arial;sans-serif"/>
          <w:b/>
          <w:i/>
          <w:color w:val="000000"/>
          <w:sz w:val="20"/>
        </w:rPr>
        <w:t>RECONCILIATION TO NON-GAAP MEASURES</w:t>
      </w:r>
    </w:p>
    <w:p>
      <w:pPr>
        <w:pStyle w:val="TextBody"/>
        <w:bidi w:val="0"/>
        <w:spacing w:lineRule="auto" w:line="288" w:before="200" w:after="60"/>
        <w:jc w:val="left"/>
        <w:rPr>
          <w:rFonts w:ascii="Arial;sans-serif" w:hAnsi="Arial;sans-serif"/>
          <w:b/>
          <w:i/>
          <w:color w:val="000000"/>
          <w:sz w:val="20"/>
        </w:rPr>
      </w:pPr>
      <w:r>
        <w:rPr>
          <w:rFonts w:ascii="Arial;sans-serif" w:hAnsi="Arial;sans-serif"/>
          <w:b/>
          <w:i/>
          <w:color w:val="000000"/>
          <w:sz w:val="20"/>
        </w:rPr>
        <w:t>Exar on a 100% basis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87"/>
        <w:gridCol w:w="1530"/>
        <w:gridCol w:w="1534"/>
        <w:gridCol w:w="146"/>
        <w:gridCol w:w="142"/>
        <w:gridCol w:w="133"/>
        <w:gridCol w:w="314"/>
        <w:gridCol w:w="317"/>
        <w:gridCol w:w="198"/>
        <w:gridCol w:w="314"/>
        <w:gridCol w:w="317"/>
        <w:gridCol w:w="198"/>
        <w:gridCol w:w="268"/>
        <w:gridCol w:w="268"/>
        <w:gridCol w:w="256"/>
        <w:gridCol w:w="314"/>
        <w:gridCol w:w="317"/>
        <w:gridCol w:w="198"/>
        <w:gridCol w:w="322"/>
        <w:gridCol w:w="309"/>
        <w:gridCol w:w="198"/>
        <w:gridCol w:w="240"/>
        <w:gridCol w:w="241"/>
        <w:gridCol w:w="344"/>
      </w:tblGrid>
      <w:tr>
        <w:trPr/>
        <w:tc>
          <w:tcPr>
            <w:tcW w:w="1787"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851"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421" w:type="dxa"/>
            <w:gridSpan w:val="3"/>
            <w:tcBorders/>
            <w:shd w:fill="153A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Q2-25</w:t>
            </w:r>
          </w:p>
        </w:tc>
        <w:tc>
          <w:tcPr>
            <w:tcW w:w="79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2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Q1-26</w:t>
            </w:r>
          </w:p>
        </w:tc>
        <w:tc>
          <w:tcPr>
            <w:tcW w:w="825"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34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Depreciation and inventory net realizable value adjustments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34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General &amp; administration and sales logistics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34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C1: Cash Operating Costs</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w:t>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52.7</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(0.2)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52.5</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53.9</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w:t>
            </w:r>
          </w:p>
        </w:tc>
        <w:tc>
          <w:tcPr>
            <w:tcW w:w="34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Selling costs, duties and royalties</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M$</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34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C2: Total Cash Costs</w:t>
            </w:r>
          </w:p>
        </w:tc>
        <w:tc>
          <w:tcPr>
            <w:tcW w:w="42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M$</w:t>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62.4</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55.0</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7.4</w:t>
            </w:r>
            <w:r>
              <w:rPr>
                <w:color w:val="000000"/>
              </w:rPr>
              <w:t>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62.4</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62.1</w:t>
            </w: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0.3</w:t>
            </w:r>
            <w:r>
              <w:rPr>
                <w:color w:val="000000"/>
              </w:rPr>
              <w:t> </w:t>
            </w:r>
          </w:p>
        </w:tc>
        <w:tc>
          <w:tcPr>
            <w:tcW w:w="34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Li2CO3 Shipments (dry base)</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tns</w:t>
            </w:r>
          </w:p>
        </w:tc>
        <w:tc>
          <w:tcPr>
            <w:tcW w:w="82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8,635</w:t>
            </w:r>
          </w:p>
        </w:tc>
        <w:tc>
          <w:tcPr>
            <w:tcW w:w="79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w:t>
            </w:r>
          </w:p>
        </w:tc>
        <w:tc>
          <w:tcPr>
            <w:tcW w:w="829"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8,901</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10,006</w:t>
            </w:r>
          </w:p>
        </w:tc>
        <w:tc>
          <w:tcPr>
            <w:tcW w:w="825" w:type="dxa"/>
            <w:gridSpan w:val="3"/>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w:t>
            </w:r>
          </w:p>
        </w:tc>
      </w:tr>
      <w:tr>
        <w:trPr/>
        <w:tc>
          <w:tcPr>
            <w:tcW w:w="48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C1 Total Cash Operating Costs per tonne</w:t>
            </w:r>
          </w:p>
        </w:tc>
        <w:tc>
          <w:tcPr>
            <w:tcW w:w="421"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$/tn</w:t>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5,897</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6,098</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(201)</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5,897</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5,391</w:t>
            </w: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506</w:t>
            </w:r>
            <w:r>
              <w:rPr>
                <w:color w:val="000000"/>
              </w:rPr>
              <w:t> </w:t>
            </w:r>
          </w:p>
        </w:tc>
        <w:tc>
          <w:tcPr>
            <w:tcW w:w="34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8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C2 Total Cash Costs per tonne</w:t>
            </w:r>
          </w:p>
        </w:tc>
        <w:tc>
          <w:tcPr>
            <w:tcW w:w="42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$/tn</w:t>
            </w:r>
          </w:p>
        </w:tc>
        <w:tc>
          <w:tcPr>
            <w:tcW w:w="63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7,005</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6,366</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639</w:t>
            </w:r>
            <w:r>
              <w:rPr>
                <w:color w:val="000000"/>
              </w:rPr>
              <w:t>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7,005</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6,208</w:t>
            </w:r>
            <w:r>
              <w:rPr>
                <w:color w:val="000000"/>
              </w:rPr>
              <w:t> </w:t>
            </w:r>
          </w:p>
        </w:tc>
        <w:tc>
          <w:tcPr>
            <w:tcW w:w="198"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797</w:t>
            </w:r>
            <w:r>
              <w:rPr>
                <w:color w:val="000000"/>
              </w:rPr>
              <w:t> </w:t>
            </w:r>
          </w:p>
        </w:tc>
        <w:tc>
          <w:tcPr>
            <w:tcW w:w="344"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jc w:val="left"/>
        <w:rPr>
          <w:rFonts w:ascii="Arial;sans-serif" w:hAnsi="Arial;sans-serif"/>
          <w:b w:val="false"/>
          <w:i/>
          <w:color w:val="000000"/>
          <w:sz w:val="18"/>
        </w:rPr>
      </w:pPr>
      <w:r>
        <w:rPr>
          <w:rFonts w:ascii="Arial;sans-serif" w:hAnsi="Arial;sans-serif"/>
          <w:b w:val="false"/>
          <w:i/>
          <w:color w:val="000000"/>
          <w:sz w:val="18"/>
        </w:rPr>
        <w:t>Notes: Quarterly amounts added together may not equal to the total reported for the period due to rounding.</w:t>
      </w:r>
    </w:p>
    <w:p>
      <w:pPr>
        <w:pStyle w:val="TextBody"/>
        <w:bidi w:val="0"/>
        <w:spacing w:before="60" w:after="6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Exar EBITDA and Adjusted EBITDA</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Lithium Argentina reports “</w:t>
      </w:r>
      <w:r>
        <w:rPr>
          <w:rFonts w:ascii="Arial;sans-serif" w:hAnsi="Arial;sans-serif"/>
          <w:b/>
          <w:color w:val="000000"/>
          <w:sz w:val="20"/>
        </w:rPr>
        <w:t>Exar EBITDA</w:t>
      </w:r>
      <w:r>
        <w:rPr>
          <w:color w:val="000000"/>
        </w:rPr>
        <w:t xml:space="preserve">” </w:t>
      </w:r>
      <w:r>
        <w:rPr>
          <w:rFonts w:ascii="Arial;sans-serif" w:hAnsi="Arial;sans-serif"/>
          <w:b w:val="false"/>
          <w:color w:val="000000"/>
          <w:sz w:val="20"/>
        </w:rPr>
        <w:t>and “</w:t>
      </w:r>
      <w:r>
        <w:rPr>
          <w:rFonts w:ascii="Arial;sans-serif" w:hAnsi="Arial;sans-serif"/>
          <w:b/>
          <w:color w:val="000000"/>
          <w:sz w:val="20"/>
        </w:rPr>
        <w:t>Exar Adjusted EBITDA</w:t>
      </w:r>
      <w:r>
        <w:rPr>
          <w:color w:val="000000"/>
        </w:rPr>
        <w:t xml:space="preserve">” </w:t>
      </w:r>
      <w:r>
        <w:rPr>
          <w:rFonts w:ascii="Arial;sans-serif" w:hAnsi="Arial;sans-serif"/>
          <w:b w:val="false"/>
          <w:color w:val="000000"/>
          <w:sz w:val="20"/>
        </w:rPr>
        <w:t>as supplemental non-GAAP operational measures. These measures are presented on a 100% Exar basis and do not represent amounts attributable to Lithium Argentina or its shareholders. Lithium Argentina accounts for its 44.8% interest in Exar using the equity method and accordingly recognizes only its proportionate share of Exar’s net income or loss as a single line item in its consolidated statements of operations. These non-GAAP measures do not have a standardized meaning under IFRS and may not be comparable to similar measures disclosed by other issuers.</w:t>
      </w:r>
    </w:p>
    <w:p>
      <w:pPr>
        <w:pStyle w:val="TextBody"/>
        <w:bidi w:val="0"/>
        <w:spacing w:before="0" w:after="0"/>
        <w:jc w:val="both"/>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Management presents these measures to provide investors and other stakeholders with additional insight into the operational performance of the asset in which Lithium Argentina holds its primary interest.</w:t>
      </w:r>
    </w:p>
    <w:p>
      <w:pPr>
        <w:pStyle w:val="TextBody"/>
        <w:bidi w:val="0"/>
        <w:spacing w:before="0" w:after="0"/>
        <w:jc w:val="left"/>
        <w:rPr/>
      </w:pPr>
      <w:r>
        <w:rPr/>
      </w:r>
    </w:p>
    <w:p>
      <w:pPr>
        <w:pStyle w:val="TextBody"/>
        <w:bidi w:val="0"/>
        <w:spacing w:lineRule="auto" w:line="240" w:before="0" w:after="0"/>
        <w:jc w:val="both"/>
        <w:rPr>
          <w:rFonts w:ascii="Arial;sans-serif" w:hAnsi="Arial;sans-serif"/>
          <w:b w:val="false"/>
          <w:color w:val="000000"/>
          <w:sz w:val="20"/>
        </w:rPr>
      </w:pPr>
      <w:r>
        <w:rPr>
          <w:rFonts w:ascii="Arial;sans-serif" w:hAnsi="Arial;sans-serif"/>
          <w:b w:val="false"/>
          <w:color w:val="000000"/>
          <w:sz w:val="20"/>
        </w:rPr>
        <w:t>Exar EBITDA is defined as Exar’s net income (loss) before income tax expense (recovery), finance costs (net), and depreciation and amortization. Exar Adjusted EBITDA further excludes foreign exchange gains and losses, gains and losses arising from derivative liabilities, other income and expense items of a non-cash or non-operating nature. These adjustments reflect items that management considers to be outside the ordinary course of operations at the Cauchari-Olaroz project and that may obscure period-to-period and peer-to-peer comparability of operating results. We believe that disclosing these measures assists readers in understanding the ongoing cash-generating potential of our significant equity investee in order to provide liquidity to fund its own needs and service its outstanding debt, as well as repay loans provided by Lithium Argentina and pay dividends.</w:t>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60"/>
        <w:jc w:val="left"/>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525780"/>
                <wp:effectExtent l="0" t="0" r="0" b="0"/>
                <wp:wrapNone/>
                <wp:docPr id="161" name="Frame6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62"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65" descr=""/>
                          <pic:cNvPicPr>
                            <a:picLocks noChangeAspect="1" noChangeArrowheads="1"/>
                          </pic:cNvPicPr>
                        </pic:nvPicPr>
                        <pic:blipFill>
                          <a:blip r:embed="rId94"/>
                          <a:stretch>
                            <a:fillRect/>
                          </a:stretch>
                        </pic:blipFill>
                        <pic:spPr bwMode="auto">
                          <a:xfrm>
                            <a:off x="0" y="0"/>
                            <a:ext cx="2009775" cy="228600"/>
                          </a:xfrm>
                          <a:prstGeom prst="rect">
                            <a:avLst/>
                          </a:prstGeom>
                        </pic:spPr>
                      </pic:pic>
                    </a:graphicData>
                  </a:graphic>
                </wp:inline>
              </w:drawing>
            </w:r>
          </w:p>
        </w:tc>
      </w:tr>
    </w:tbl>
    <w:p>
      <w:pPr>
        <w:pStyle w:val="TextBody"/>
        <w:bidi w:val="0"/>
        <w:spacing w:before="0" w:after="60"/>
        <w:jc w:val="left"/>
        <w:rPr/>
      </w:pPr>
      <w:r>
        <w:rPr/>
      </w:r>
    </w:p>
    <w:p>
      <w:pPr>
        <w:pStyle w:val="TextBody"/>
        <w:bidi w:val="0"/>
        <w:spacing w:before="0" w:after="60"/>
        <w:jc w:val="left"/>
        <w:rPr/>
      </w:pPr>
      <w:r>
        <w:rPr/>
      </w:r>
    </w:p>
    <w:p>
      <w:pPr>
        <w:pStyle w:val="TextBody"/>
        <w:bidi w:val="0"/>
        <w:spacing w:lineRule="auto" w:line="288" w:before="0" w:after="60"/>
        <w:jc w:val="left"/>
        <w:rPr>
          <w:rFonts w:ascii="Arial;sans-serif" w:hAnsi="Arial;sans-serif"/>
          <w:b/>
          <w:i/>
          <w:color w:val="000000"/>
          <w:sz w:val="20"/>
        </w:rPr>
      </w:pPr>
      <w:r>
        <w:rPr>
          <w:rFonts w:ascii="Arial;sans-serif" w:hAnsi="Arial;sans-serif"/>
          <w:b/>
          <w:i/>
          <w:color w:val="000000"/>
          <w:sz w:val="20"/>
        </w:rPr>
        <w:t>Exar on a 100% basis</w:t>
      </w:r>
    </w:p>
    <w:tbl>
      <w:tblPr>
        <w:tblW w:w="8907" w:type="dxa"/>
        <w:jc w:val="left"/>
        <w:tblInd w:w="0" w:type="dxa"/>
        <w:tblLayout w:type="fixed"/>
        <w:tblCellMar>
          <w:top w:w="28" w:type="dxa"/>
          <w:left w:w="28" w:type="dxa"/>
          <w:bottom w:w="28" w:type="dxa"/>
          <w:right w:w="28" w:type="dxa"/>
        </w:tblCellMar>
      </w:tblPr>
      <w:tblGrid>
        <w:gridCol w:w="1309"/>
        <w:gridCol w:w="1151"/>
        <w:gridCol w:w="1155"/>
        <w:gridCol w:w="307"/>
        <w:gridCol w:w="309"/>
        <w:gridCol w:w="206"/>
        <w:gridCol w:w="343"/>
        <w:gridCol w:w="347"/>
        <w:gridCol w:w="206"/>
        <w:gridCol w:w="360"/>
        <w:gridCol w:w="361"/>
        <w:gridCol w:w="256"/>
        <w:gridCol w:w="307"/>
        <w:gridCol w:w="309"/>
        <w:gridCol w:w="206"/>
        <w:gridCol w:w="307"/>
        <w:gridCol w:w="309"/>
        <w:gridCol w:w="206"/>
        <w:gridCol w:w="308"/>
        <w:gridCol w:w="308"/>
        <w:gridCol w:w="337"/>
      </w:tblGrid>
      <w:tr>
        <w:trPr/>
        <w:tc>
          <w:tcPr>
            <w:tcW w:w="1309"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96"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Q2-25</w:t>
            </w:r>
          </w:p>
        </w:tc>
        <w:tc>
          <w:tcPr>
            <w:tcW w:w="977"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Q2-26</w:t>
            </w:r>
          </w:p>
        </w:tc>
        <w:tc>
          <w:tcPr>
            <w:tcW w:w="822"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Q1-26</w:t>
            </w:r>
          </w:p>
        </w:tc>
        <w:tc>
          <w:tcPr>
            <w:tcW w:w="953"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Change</w:t>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income (loss)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83.7 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(56.7)</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Income tax expense</w:t>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+2.7 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+29.6 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costs, net</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+4.9 </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+0.4 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EBITDA</w:t>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97.0 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+11.0 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FX losses/(gains)</w:t>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+1.9 </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2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+11.3 </w:t>
            </w:r>
          </w:p>
        </w:tc>
        <w:tc>
          <w:tcPr>
            <w:tcW w:w="3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Derivative (gains)/losses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+168.5 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(income)/loss</w:t>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tcBorders>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3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EBITDA</w:t>
            </w:r>
          </w:p>
        </w:tc>
        <w:tc>
          <w:tcPr>
            <w:tcW w:w="616"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+101.7 </w:t>
            </w:r>
          </w:p>
        </w:tc>
        <w:tc>
          <w:tcPr>
            <w:tcW w:w="25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110.3 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20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339966"/>
                <w:sz w:val="18"/>
              </w:rPr>
            </w:pPr>
            <w:r>
              <w:rPr>
                <w:rFonts w:ascii="Arial;sans-serif" w:hAnsi="Arial;sans-serif"/>
                <w:b w:val="false"/>
                <w:color w:val="339966"/>
                <w:sz w:val="18"/>
              </w:rPr>
              <w:t>+4.5 </w:t>
            </w:r>
          </w:p>
        </w:tc>
        <w:tc>
          <w:tcPr>
            <w:tcW w:w="3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80" w:after="80"/>
        <w:jc w:val="both"/>
        <w:rPr>
          <w:rFonts w:ascii="Arial;sans-serif" w:hAnsi="Arial;sans-serif"/>
          <w:b w:val="false"/>
          <w:i/>
          <w:color w:val="000000"/>
          <w:sz w:val="16"/>
        </w:rPr>
      </w:pPr>
      <w:r>
        <w:rPr>
          <w:rFonts w:ascii="Arial;sans-serif" w:hAnsi="Arial;sans-serif"/>
          <w:b w:val="false"/>
          <w:i/>
          <w:color w:val="000000"/>
          <w:sz w:val="16"/>
        </w:rPr>
        <w:t xml:space="preserve">Note: The reconciliation above has been prepared using financial information from Exar's financial statements, adjusted for certain reclassifications to conform with Lithium Argentina's presentation. Figures may not sum due to rounding. </w:t>
      </w:r>
    </w:p>
    <w:p>
      <w:pPr>
        <w:pStyle w:val="TextBody"/>
        <w:bidi w:val="0"/>
        <w:spacing w:lineRule="auto" w:line="300" w:before="80" w:after="80"/>
        <w:jc w:val="both"/>
        <w:rPr>
          <w:rFonts w:ascii="Arial;sans-serif" w:hAnsi="Arial;sans-serif"/>
          <w:b w:val="false"/>
          <w:i/>
          <w:color w:val="000000"/>
          <w:sz w:val="16"/>
        </w:rPr>
      </w:pPr>
      <w:r>
        <w:rPr>
          <w:rFonts w:ascii="Arial;sans-serif" w:hAnsi="Arial;sans-serif"/>
          <w:b w:val="false"/>
          <w:i/>
          <w:color w:val="000000"/>
          <w:sz w:val="16"/>
        </w:rPr>
        <w:t>Derivative gains and losses reflect fair value changes related to an embedded derivative within Exar’s USD-denominated related party loans, that are contractually required to be settled in Argentine Pesos using the Blue-Chip Swap (“BCS”) exchange rate. The fair value of this embedded derivative fluctuates with changes in the spread between the BCS rate and the official Argentine exchange rate. These amounts are excluded from Adjusted EBITDA because they reflect non-operating fair value movements associated with financing arrangements rather than the underlying operating performance of the Cauchari-Olaroz project.</w:t>
      </w:r>
    </w:p>
    <w:p>
      <w:pPr>
        <w:pStyle w:val="TextBody"/>
        <w:bidi w:val="0"/>
        <w:spacing w:before="80" w:after="8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Exar Free Cash Flow and Exar Free Cash Flow from Operations</w:t>
      </w:r>
    </w:p>
    <w:p>
      <w:pPr>
        <w:pStyle w:val="TextBody"/>
        <w:bidi w:val="0"/>
        <w:spacing w:before="0" w:after="0"/>
        <w:jc w:val="left"/>
        <w:rPr/>
      </w:pPr>
      <w:r>
        <w:rPr/>
      </w:r>
    </w:p>
    <w:p>
      <w:pPr>
        <w:pStyle w:val="TextBody"/>
        <w:bidi w:val="0"/>
        <w:spacing w:lineRule="auto" w:line="240" w:before="0" w:after="0"/>
        <w:jc w:val="left"/>
        <w:rPr/>
      </w:pPr>
      <w:r>
        <w:rPr>
          <w:rFonts w:ascii="Arial;sans-serif" w:hAnsi="Arial;sans-serif"/>
          <w:b w:val="false"/>
          <w:color w:val="000000"/>
          <w:sz w:val="20"/>
        </w:rPr>
        <w:t xml:space="preserve">Lithium Argentina reports </w:t>
      </w:r>
      <w:r>
        <w:rPr>
          <w:color w:val="000000"/>
        </w:rPr>
        <w:t>“</w:t>
      </w:r>
      <w:r>
        <w:rPr>
          <w:rFonts w:ascii="Arial;sans-serif" w:hAnsi="Arial;sans-serif"/>
          <w:b/>
          <w:color w:val="000000"/>
          <w:sz w:val="20"/>
        </w:rPr>
        <w:t>Exar Free Cash Flow”</w:t>
      </w:r>
      <w:r>
        <w:rPr>
          <w:color w:val="000000"/>
        </w:rPr>
        <w:t xml:space="preserve"> </w:t>
      </w:r>
      <w:r>
        <w:rPr>
          <w:rFonts w:ascii="Arial;sans-serif" w:hAnsi="Arial;sans-serif"/>
          <w:b w:val="false"/>
          <w:color w:val="000000"/>
          <w:sz w:val="20"/>
        </w:rPr>
        <w:t xml:space="preserve">and </w:t>
      </w:r>
      <w:r>
        <w:rPr>
          <w:color w:val="000000"/>
        </w:rPr>
        <w:t>“</w:t>
      </w:r>
      <w:r>
        <w:rPr>
          <w:rFonts w:ascii="Arial;sans-serif" w:hAnsi="Arial;sans-serif"/>
          <w:b/>
          <w:color w:val="000000"/>
          <w:sz w:val="20"/>
        </w:rPr>
        <w:t xml:space="preserve">Exar Free Cash Flow from Operations” </w:t>
      </w:r>
      <w:r>
        <w:rPr>
          <w:rFonts w:ascii="Arial;sans-serif" w:hAnsi="Arial;sans-serif"/>
          <w:b w:val="false"/>
          <w:color w:val="000000"/>
          <w:sz w:val="20"/>
        </w:rPr>
        <w:t>as supplemental non-GAAP financial measures, presented on a 100% Exar basis. They are not standardized financial measures under IFRS and may not be comparable to similar measures disclosed by other issuers, including measures with similar titles. Exar Free Cash Flow is net cash generated from operating activities of Exar, less capital expenditures. Exar Free Cash Flow from Operations is Exar Free Cash Flow before the deduction of development capital expenditures, including the payment of capitalized interest. The most directly comparable IFRS measure for both is net cash generated from operating activities of Exar, presented under “Financial Information of Exar (on a 100% basis) – Cash Flows” above, where the underlying amounts are also disclosed.</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Sustaining capital expenditures and development capital expenditures are supplementary financial measures which together comprise purchases of property, plant and equipment. Sustaining capital expenditures maintain existing operations and current production levels; development capital expenditures increase current or future production capacity, cash flow or earnings potential. Both are measured on a cash basis, and where an expenditure serves both purposes, classification follows its primary purpose. Development capital expenditures include the payment of capitalized interest settled during the periods presented.</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Because Lithium Argentina’s interest in Cauchari-Olaroz is held through an equity-accounted investment rather than a controlled subsidiary, Exar’s cash flows are not presented in the Company’s consolidated statement of cash flows. Exar Free Cash Flow gives users visibility into the cash generated by the underlying operating asset after all capital expenditure incurred in the period. Development capital expenditures, including payment of capitalized interest are deducted in Exar Free Cash Flow because they are a cash cost of acquiring those production assets; had that interest been paid as it accrued rather than deferred, the cash outflow would have been included in purchases of property, plant and equipment in earlier periods. Other amounts within Exar’s investing and financing activities are not deducted, principally treasury investment activity, VAT recovery arising in the comparative period only, and movements in loan principal.</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Exar Free Cash Flow from Operations is presented in addition to, and not in place of, Exar Free Cash Flow, to show the operation’s cash generation before development capital expenditures. Development capital expenditures in the periods presented relate to the payment of interest capitalized prior to commercial production, so the capitalized balance is fixed and reduces as it is settled: approximately $16.6 million was settled during the six months ended June 30, 2026, leaving approximately $18.9 million payable to Exar Capital, a jointly owned financing company wholly owned by Lithium Argentina and Ganfeng.</w:t>
      </w:r>
    </w:p>
    <w:p>
      <w:pPr>
        <w:pStyle w:val="TextBody"/>
        <w:bidi w:val="0"/>
        <w:spacing w:before="0" w:after="283"/>
        <w:jc w:val="left"/>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525780"/>
                <wp:effectExtent l="0" t="0" r="0" b="0"/>
                <wp:wrapNone/>
                <wp:docPr id="163" name="Frame7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6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66" descr=""/>
                          <pic:cNvPicPr>
                            <a:picLocks noChangeAspect="1" noChangeArrowheads="1"/>
                          </pic:cNvPicPr>
                        </pic:nvPicPr>
                        <pic:blipFill>
                          <a:blip r:embed="rId95"/>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Neither measure represents an amount attributable to Lithium Argentina or its shareholders, nor residual cash available for discretionary use, and both are stated before scheduled principal repayments and interest on Exar’s third-party debt. Free Cash Flow from Operations at Exar does not represent cash flow available to the Company at its discretion. Under the shareholder agreement governing Cauchari-Olaroz, excess cash flow (as defined therein) is distributed between the Company and Ganfeng.</w:t>
      </w:r>
    </w:p>
    <w:p>
      <w:pPr>
        <w:pStyle w:val="TextBody"/>
        <w:bidi w:val="0"/>
        <w:spacing w:before="0" w:after="0"/>
        <w:jc w:val="both"/>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Exar on a 100% basis</w:t>
      </w:r>
    </w:p>
    <w:p>
      <w:pPr>
        <w:pStyle w:val="TextBody"/>
        <w:bidi w:val="0"/>
        <w:spacing w:before="0" w:after="0"/>
        <w:jc w:val="left"/>
        <w:rPr/>
      </w:pPr>
      <w:r>
        <w:rPr/>
      </w:r>
    </w:p>
    <w:tbl>
      <w:tblPr>
        <w:tblW w:w="9700" w:type="dxa"/>
        <w:jc w:val="left"/>
        <w:tblInd w:w="0" w:type="dxa"/>
        <w:tblLayout w:type="fixed"/>
        <w:tblCellMar>
          <w:top w:w="28" w:type="dxa"/>
          <w:left w:w="28" w:type="dxa"/>
          <w:bottom w:w="28" w:type="dxa"/>
          <w:right w:w="28" w:type="dxa"/>
        </w:tblCellMar>
      </w:tblPr>
      <w:tblGrid>
        <w:gridCol w:w="1678"/>
        <w:gridCol w:w="1475"/>
        <w:gridCol w:w="1482"/>
        <w:gridCol w:w="435"/>
        <w:gridCol w:w="435"/>
        <w:gridCol w:w="435"/>
        <w:gridCol w:w="435"/>
        <w:gridCol w:w="435"/>
        <w:gridCol w:w="449"/>
        <w:gridCol w:w="378"/>
        <w:gridCol w:w="378"/>
        <w:gridCol w:w="378"/>
        <w:gridCol w:w="378"/>
        <w:gridCol w:w="378"/>
        <w:gridCol w:w="551"/>
      </w:tblGrid>
      <w:tr>
        <w:trPr/>
        <w:tc>
          <w:tcPr>
            <w:tcW w:w="1678"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635" w:type="dxa"/>
            <w:gridSpan w:val="3"/>
            <w:tcBorders/>
            <w:shd w:fill="153A57"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Three Months Ended June 30,</w:t>
            </w:r>
          </w:p>
        </w:tc>
        <w:tc>
          <w:tcPr>
            <w:tcW w:w="2441" w:type="dxa"/>
            <w:gridSpan w:val="6"/>
            <w:tcBorders/>
            <w:shd w:fill="153A57"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FFFFFF"/>
                <w:sz w:val="18"/>
              </w:rPr>
            </w:pPr>
            <w:r>
              <w:rPr>
                <w:rFonts w:ascii="Arial;sans-serif" w:hAnsi="Arial;sans-serif"/>
                <w:b/>
                <w:color w:val="FFFFFF"/>
                <w:sz w:val="18"/>
              </w:rPr>
              <w:t>Six Months Ended June 30,</w:t>
            </w:r>
          </w:p>
        </w:tc>
      </w:tr>
      <w:tr>
        <w:trPr/>
        <w:tc>
          <w:tcPr>
            <w:tcW w:w="4635"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 USD millions (unless stated otherwise)</w:t>
            </w:r>
          </w:p>
        </w:tc>
        <w:tc>
          <w:tcPr>
            <w:tcW w:w="1305"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2026</w:t>
            </w:r>
          </w:p>
        </w:tc>
        <w:tc>
          <w:tcPr>
            <w:tcW w:w="1319"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2025</w:t>
            </w:r>
          </w:p>
        </w:tc>
        <w:tc>
          <w:tcPr>
            <w:tcW w:w="1134"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2026</w:t>
            </w:r>
          </w:p>
        </w:tc>
        <w:tc>
          <w:tcPr>
            <w:tcW w:w="1307" w:type="dxa"/>
            <w:gridSpan w:val="3"/>
            <w:tcBorders/>
            <w:shd w:fill="153A57"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FFFFFF"/>
                <w:sz w:val="18"/>
              </w:rPr>
            </w:pPr>
            <w:r>
              <w:rPr>
                <w:rFonts w:ascii="Arial;sans-serif" w:hAnsi="Arial;sans-serif"/>
                <w:b/>
                <w:color w:val="FFFFFF"/>
                <w:sz w:val="18"/>
              </w:rPr>
              <w:t>2025</w:t>
            </w:r>
          </w:p>
        </w:tc>
      </w:tr>
      <w:tr>
        <w:trPr/>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Net cash generated from operating activities (IFRS)</w:t>
            </w:r>
          </w:p>
        </w:tc>
        <w:tc>
          <w:tcPr>
            <w:tcW w:w="870"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142.4</w:t>
            </w:r>
            <w:r>
              <w:rPr>
                <w:color w:val="000000"/>
              </w:rPr>
              <w:t> </w:t>
            </w:r>
          </w:p>
        </w:tc>
        <w:tc>
          <w:tcPr>
            <w:tcW w:w="435"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(15.3)</w:t>
            </w:r>
          </w:p>
        </w:tc>
        <w:tc>
          <w:tcPr>
            <w:tcW w:w="4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177.9</w:t>
            </w:r>
            <w:r>
              <w:rPr>
                <w:color w:val="000000"/>
              </w:rPr>
              <w:t> </w:t>
            </w:r>
          </w:p>
        </w:tc>
        <w:tc>
          <w:tcPr>
            <w:tcW w:w="378"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color w:val="000000"/>
                <w:sz w:val="18"/>
              </w:rPr>
            </w:pPr>
            <w:r>
              <w:rPr>
                <w:rFonts w:ascii="Arial;sans-serif" w:hAnsi="Arial;sans-serif"/>
                <w:b/>
                <w:color w:val="000000"/>
                <w:sz w:val="18"/>
              </w:rPr>
              <w:t>(38.9)</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Purchases of PP&amp;E</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 Settlement of interest capitalized during construction</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Exar Free Cash Flow</w:t>
            </w:r>
          </w:p>
        </w:tc>
        <w:tc>
          <w:tcPr>
            <w:tcW w:w="870"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125.4</w:t>
            </w:r>
            <w:r>
              <w:rPr>
                <w:color w:val="000000"/>
              </w:rPr>
              <w:t> </w:t>
            </w:r>
          </w:p>
        </w:tc>
        <w:tc>
          <w:tcPr>
            <w:tcW w:w="435"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4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shd w:fill="E5E5E5" w:val="clear"/>
            <w:tcMar>
              <w:top w:w="30" w:type="dxa"/>
              <w:left w:w="0" w:type="dxa"/>
              <w:bottom w:w="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157.7</w:t>
            </w:r>
            <w:r>
              <w:rPr>
                <w:color w:val="000000"/>
              </w:rPr>
              <w:t> </w:t>
            </w:r>
          </w:p>
        </w:tc>
        <w:tc>
          <w:tcPr>
            <w:tcW w:w="378" w:type="dxa"/>
            <w:tcBorders>
              <w:top w:val="single" w:sz="8" w:space="0" w:color="000000"/>
            </w:tcBorders>
            <w:shd w:fill="E5E5E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w:t>
            </w:r>
          </w:p>
        </w:tc>
        <w:tc>
          <w:tcPr>
            <w:tcW w:w="5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 Settlement of interest capitalized during construction</w:t>
            </w:r>
          </w:p>
        </w:tc>
        <w:tc>
          <w:tcPr>
            <w:tcW w:w="870"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435"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shd w:fill="E5E5E5"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378" w:type="dxa"/>
            <w:tcBorders/>
            <w:shd w:fill="E5E5E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left"/>
              <w:rPr>
                <w:rFonts w:ascii="Arial;sans-serif" w:hAnsi="Arial;sans-serif"/>
                <w:b/>
                <w:color w:val="000000"/>
                <w:sz w:val="18"/>
              </w:rPr>
            </w:pPr>
            <w:r>
              <w:rPr>
                <w:rFonts w:ascii="Arial;sans-serif" w:hAnsi="Arial;sans-serif"/>
                <w:b/>
                <w:color w:val="000000"/>
                <w:sz w:val="18"/>
              </w:rPr>
              <w:t>Exar Free Cash Flow from Operations</w:t>
            </w:r>
          </w:p>
        </w:tc>
        <w:tc>
          <w:tcPr>
            <w:tcW w:w="870" w:type="dxa"/>
            <w:gridSpan w:val="2"/>
            <w:tcBorders>
              <w:top w:val="single" w:sz="8" w:space="0" w:color="000000"/>
              <w:bottom w:val="single" w:sz="8" w:space="0" w:color="000000"/>
            </w:tcBorders>
            <w:shd w:fill="E5E5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141.1</w:t>
            </w:r>
            <w:r>
              <w:rPr>
                <w:color w:val="000000"/>
              </w:rPr>
              <w:t> </w:t>
            </w:r>
          </w:p>
        </w:tc>
        <w:tc>
          <w:tcPr>
            <w:tcW w:w="435" w:type="dxa"/>
            <w:tcBorders>
              <w:top w:val="single" w:sz="8" w:space="0" w:color="000000"/>
              <w:bottom w:val="sing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44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shd w:fill="E5E5E5" w:val="clear"/>
            <w:tcMar>
              <w:top w:w="30" w:type="dxa"/>
              <w:left w:w="0" w:type="dxa"/>
              <w:bottom w:w="30" w:type="dxa"/>
              <w:right w:w="0" w:type="dxa"/>
            </w:tcMar>
            <w:vAlign w:val="center"/>
          </w:tcPr>
          <w:p>
            <w:pPr>
              <w:pStyle w:val="TableContents"/>
              <w:bidi w:val="0"/>
              <w:spacing w:lineRule="auto" w:line="288" w:before="0" w:after="283"/>
              <w:jc w:val="right"/>
              <w:rPr/>
            </w:pPr>
            <w:r>
              <w:rPr>
                <w:rFonts w:ascii="Arial;sans-serif" w:hAnsi="Arial;sans-serif"/>
                <w:b/>
                <w:color w:val="000000"/>
                <w:sz w:val="18"/>
              </w:rPr>
              <w:t>174.3</w:t>
            </w:r>
            <w:r>
              <w:rPr>
                <w:color w:val="000000"/>
              </w:rPr>
              <w:t> </w:t>
            </w:r>
          </w:p>
        </w:tc>
        <w:tc>
          <w:tcPr>
            <w:tcW w:w="378" w:type="dxa"/>
            <w:tcBorders>
              <w:top w:val="single" w:sz="8" w:space="0" w:color="000000"/>
              <w:bottom w:val="single" w:sz="8" w:space="0" w:color="000000"/>
            </w:tcBorders>
            <w:shd w:fill="E5E5E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5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w:t>
            </w:r>
          </w:p>
        </w:tc>
        <w:tc>
          <w:tcPr>
            <w:tcW w:w="55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Note: The reconciliation above has been prepared using financial information from Exar’s financial statements, adjusted for certain reclassifications to conform with Lithium Argentina’s presentation. Figures may not sum due to rounding. Exar Free Cash Flow from Operations is presented in addition to, and not in place of, Exar Free Cash Flow.</w:t>
      </w:r>
    </w:p>
    <w:p>
      <w:pPr>
        <w:pStyle w:val="TextBody"/>
        <w:bidi w:val="0"/>
        <w:spacing w:lineRule="auto" w:line="276" w:before="360" w:after="283"/>
        <w:jc w:val="both"/>
        <w:rPr>
          <w:rFonts w:ascii="Arial;sans-serif" w:hAnsi="Arial;sans-serif"/>
          <w:b/>
          <w:i/>
          <w:color w:val="000000"/>
          <w:sz w:val="20"/>
        </w:rPr>
      </w:pPr>
      <w:r>
        <w:rPr>
          <w:rFonts w:ascii="Arial;sans-serif" w:hAnsi="Arial;sans-serif"/>
          <w:b/>
          <w:i/>
          <w:color w:val="000000"/>
          <w:sz w:val="20"/>
        </w:rPr>
        <w:t>Average realized lithium price</w:t>
      </w:r>
    </w:p>
    <w:p>
      <w:pPr>
        <w:pStyle w:val="TextBody"/>
        <w:bidi w:val="0"/>
        <w:spacing w:before="0" w:after="0"/>
        <w:jc w:val="both"/>
        <w:rPr/>
      </w:pPr>
      <w:r>
        <w:rPr/>
      </w:r>
    </w:p>
    <w:p>
      <w:pPr>
        <w:pStyle w:val="TextBody"/>
        <w:bidi w:val="0"/>
        <w:spacing w:lineRule="auto" w:line="240" w:before="0" w:after="0"/>
        <w:jc w:val="left"/>
        <w:rPr/>
      </w:pPr>
      <w:r>
        <w:rPr>
          <w:rFonts w:ascii="Arial;sans-serif" w:hAnsi="Arial;sans-serif"/>
          <w:b w:val="false"/>
          <w:color w:val="000000"/>
          <w:sz w:val="20"/>
        </w:rPr>
        <w:t xml:space="preserve">Lithium Argentina reports Exar’s </w:t>
      </w:r>
      <w:r>
        <w:rPr>
          <w:rFonts w:ascii="Arial;sans-serif" w:hAnsi="Arial;sans-serif"/>
          <w:b/>
          <w:color w:val="000000"/>
          <w:sz w:val="20"/>
        </w:rPr>
        <w:t>average realized lithium price</w:t>
      </w:r>
      <w:r>
        <w:rPr>
          <w:color w:val="000000"/>
        </w:rPr>
        <w:t xml:space="preserve"> </w:t>
      </w:r>
      <w:r>
        <w:rPr>
          <w:rFonts w:ascii="Arial;sans-serif" w:hAnsi="Arial;sans-serif"/>
          <w:b w:val="false"/>
          <w:color w:val="000000"/>
          <w:sz w:val="20"/>
        </w:rPr>
        <w:t>as a key non-GAAP financial measure. This non-GAAP financial measure does not have a standardized meaning under IFRS and might not be comparable to similar financial measures disclosed by other issuers. Average realized lithium price per tonne is defined as lithium revenue divided by total lithium tonnes sold.</w:t>
      </w:r>
    </w:p>
    <w:p>
      <w:pPr>
        <w:pStyle w:val="TextBody"/>
        <w:bidi w:val="0"/>
        <w:spacing w:before="0" w:after="0"/>
        <w:jc w:val="left"/>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Scientific &amp; Technical Information and Qualified Persons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scientific and technical information in this press release in respect to the updated mineral resource has been reviewed and approved by the independent QPs listed below, each of whom is a “qualified person” as defined by National Instrument 43-101 – </w:t>
      </w:r>
      <w:r>
        <w:rPr>
          <w:rFonts w:ascii="Arial;sans-serif" w:hAnsi="Arial;sans-serif"/>
          <w:b w:val="false"/>
          <w:i/>
          <w:color w:val="000000"/>
          <w:sz w:val="20"/>
        </w:rPr>
        <w:t>Standards of Disclosure for Mineral Projects</w:t>
      </w:r>
    </w:p>
    <w:p>
      <w:pPr>
        <w:pStyle w:val="TextBody"/>
        <w:bidi w:val="0"/>
        <w:spacing w:before="0" w:after="0"/>
        <w:jc w:val="both"/>
        <w:rPr/>
      </w:pPr>
      <w:r>
        <w:rPr/>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David Burga, P.Geo.</w:t>
      </w:r>
    </w:p>
    <w:p>
      <w:pPr>
        <w:pStyle w:val="TextBody"/>
        <w:bidi w:val="0"/>
        <w:spacing w:lineRule="auto" w:line="288" w:before="0" w:after="0"/>
        <w:ind w:left="0" w:right="0" w:hanging="360"/>
        <w:jc w:val="both"/>
        <w:rPr>
          <w:rFonts w:ascii="Arial;sans-serif" w:hAnsi="Arial;sans-serif"/>
          <w:b w:val="false"/>
          <w:color w:val="000000"/>
          <w:sz w:val="20"/>
        </w:rPr>
      </w:pPr>
      <w:r>
        <w:rPr>
          <w:rFonts w:ascii="Arial;sans-serif" w:hAnsi="Arial;sans-serif"/>
          <w:b w:val="false"/>
          <w:color w:val="000000"/>
          <w:sz w:val="20"/>
        </w:rPr>
        <w:t>Mark King, PhD P.Geo., FGC</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 xml:space="preserve">The scientific and technical information in this press release in respect of Cauchari-Olaroz has been reviewed and approved by David Burga, P.Geo., a “qualified person” as defined by National Instrument 43-101 – </w:t>
      </w:r>
      <w:r>
        <w:rPr>
          <w:rFonts w:ascii="Arial;sans-serif" w:hAnsi="Arial;sans-serif"/>
          <w:b w:val="false"/>
          <w:i/>
          <w:color w:val="000000"/>
          <w:sz w:val="20"/>
        </w:rPr>
        <w:t>Standards of Disclosure for Mineral Projects</w:t>
      </w:r>
      <w:r>
        <w:rPr>
          <w:rFonts w:ascii="Arial;sans-serif" w:hAnsi="Arial;sans-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ABOUT LITHIUM ARGENTINA</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Lithium Argentina is a producer of lithium carbonate for use primarily in lithium-ion batteries and electric vehicles. The Company, in partnership with Ganfeng Lithium Group Co., Ltd. (“</w:t>
      </w:r>
      <w:r>
        <w:rPr>
          <w:rFonts w:ascii="Arial;sans-serif" w:hAnsi="Arial;sans-serif"/>
          <w:b/>
          <w:color w:val="000000"/>
          <w:sz w:val="20"/>
        </w:rPr>
        <w:t>Ganfeng</w:t>
      </w:r>
      <w:r>
        <w:rPr>
          <w:color w:val="000000"/>
        </w:rPr>
        <w:t>”</w:t>
      </w:r>
      <w:r>
        <w:rPr>
          <w:rFonts w:ascii="Arial;sans-serif" w:hAnsi="Arial;sans-serif"/>
          <w:b w:val="false"/>
          <w:color w:val="000000"/>
          <w:sz w:val="20"/>
        </w:rPr>
        <w:t>) operates the Cauchari-Olaroz lithium brine operation in the Jujuy province of Argentina and is advancing PPG in the Salta province of Argentina. Lithium Argentina currently trades on the TSX and on the NYSE under the ticker “LAR”.</w:t>
      </w:r>
    </w:p>
    <w:p>
      <w:pPr>
        <w:pStyle w:val="TextBody"/>
        <w:bidi w:val="0"/>
        <w:spacing w:before="0" w:after="0"/>
        <w:jc w:val="both"/>
        <w:rPr/>
      </w:pPr>
      <w:r>
        <w:rPr/>
      </w:r>
    </w:p>
    <w:p>
      <w:pPr>
        <w:pStyle w:val="TextBody"/>
        <w:bidi w:val="0"/>
        <w:jc w:val="both"/>
        <w:rPr/>
      </w:pPr>
      <w:r>
        <w:rPr/>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525780"/>
                <wp:effectExtent l="0" t="0" r="0" b="0"/>
                <wp:wrapNone/>
                <wp:docPr id="165" name="Frame7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6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67" descr=""/>
                          <pic:cNvPicPr>
                            <a:picLocks noChangeAspect="1" noChangeArrowheads="1"/>
                          </pic:cNvPicPr>
                        </pic:nvPicPr>
                        <pic:blipFill>
                          <a:blip r:embed="rId96"/>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 further information contact:</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Investor Relations</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Telephone: +1 778-653-8092</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Email: kelly.obrien@lithium-argentina.com</w: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Website: http://www.lithium-argentina.com</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153A57"/>
          <w:sz w:val="20"/>
        </w:rPr>
      </w:pPr>
      <w:r>
        <w:rPr>
          <w:rFonts w:ascii="Arial;sans-serif" w:hAnsi="Arial;sans-serif"/>
          <w:b/>
          <w:color w:val="153A57"/>
          <w:sz w:val="20"/>
        </w:rPr>
        <w:t>FORWARD-LOOKING INFORMATION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news release contains “forward-looking information” and “forward-looking statements” (which we refer to collectively as forward-looking information) under the provisions of applicable securities legislation. Forward-looking information can be identified by the use of words such as “seek”, “anticipate”, “plan”, “continue”, “estimate”, “expect”, “may”, “will”, “project”, “predict”, “propose”, “potential”, “target”, “intend”, “could”, “might”, “should”, “believe”, “scheduled”, “implement” and similar words or expressions. All statements, other than statements of historical fact, are forward-looking information. Forward-looking information in this news release include, without limitation, information with respect to the following matters or the Company’s expectations relating to such matters:  mineral resource estimates; the nature and timing of an updated development plan for Stage 2; the impacts of the increase in resources on the Company’s growth strategy and for staged capacity expansions at Cauchari-Olaroz; the timing and amount of future production, capacity and anticipated costs; expectations with respect to Stage 2; expectations with respect to the PPG joint venture, including the timing for closing the joint venture and financing plans; the ability of the Company to refinance its existing corporate debt; future distributions of cash from Exar; production guidance; permitting and expectations related to the timing of RIGI approval and related benefits; the Company’s consideration of additional stock exchange listings.</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 xml:space="preserve">Forward-looking information may involve known and unknown risks, assumptions and uncertainties which may cause the Company’s actual results or performance to differ materially. This information reflects the Company’s current views with respect to future events and is necessarily based upon a number of assumptions that, while considered reasonable by the Company today, are inherently subject to significant uncertainties and contingences, and accordingly, the Company can give no assurance that these assumptions and expectations will prove to be correct. With respect to forward-looking information included in this news release, the Company has made assumptions regarding, among other things: current technological trends; a cordial business relationship between the Company and third party strategic and contractual partners, including the co-owners of the Company’s projects; the business relationship between the Company and Ganfeng; ability of the Company to fund, advance and develop Cauchari-Olaroz and its other projects, and expected production and the timing thereof at Cauchari-Olaroz; ability of the Company to fund, advance and develop PPG; the successful operation of Cauchari-Olaroz under its co-ownership structure; ability of the Company to produce battery quality lithium products; the ability to operate in a safe and effective manner; uncertainties relating to obtaining and/or maintaining mining, exploration, development, environmental and other permits or approvals in Argentina including the Company’s RIGI applications; demand for lithium, including that such demand is supported by growth in the electric vehicle market; impact of increasing competition in the lithium business, including the Company’s competitive position in the industry; general economic conditions; stability and support of legislative, regulatory and community environment in the jurisdiction where it operates; estimates of and changes to market prices for lithium and commodities; estimates costs for the project or operation; estimates of mineral resources and mineral reserves, including whether mineral resources will ever be developed into mineral reserves; reliability of technical data; and the ability to achieve full production; and accuracy of budget and estimates. </w:t>
      </w:r>
    </w:p>
    <w:p>
      <w:pPr>
        <w:pStyle w:val="TextBody"/>
        <w:bidi w:val="0"/>
        <w:spacing w:lineRule="auto" w:line="288" w:before="0" w:after="0"/>
        <w:jc w:val="both"/>
        <w:rPr>
          <w:color w:val="000000"/>
        </w:rPr>
      </w:pP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525780"/>
                <wp:effectExtent l="0" t="0" r="0" b="0"/>
                <wp:wrapNone/>
                <wp:docPr id="167" name="Frame7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r>
                              <w:br w:type="page"/>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tbl>
      <w:tblPr>
        <w:tblW w:w="6263" w:type="dxa"/>
        <w:jc w:val="left"/>
        <w:tblInd w:w="0" w:type="dxa"/>
        <w:tblLayout w:type="fixed"/>
        <w:tblCellMar>
          <w:top w:w="28" w:type="dxa"/>
          <w:left w:w="28" w:type="dxa"/>
          <w:bottom w:w="28" w:type="dxa"/>
          <w:right w:w="28" w:type="dxa"/>
        </w:tblCellMar>
      </w:tblPr>
      <w:tblGrid>
        <w:gridCol w:w="957"/>
        <w:gridCol w:w="840"/>
        <w:gridCol w:w="843"/>
        <w:gridCol w:w="109"/>
        <w:gridCol w:w="109"/>
        <w:gridCol w:w="109"/>
        <w:gridCol w:w="965"/>
        <w:gridCol w:w="965"/>
        <w:gridCol w:w="1366"/>
      </w:tblGrid>
      <w:tr>
        <w:trPr/>
        <w:tc>
          <w:tcPr>
            <w:tcW w:w="957"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153A57"/>
                <w:sz w:val="32"/>
              </w:rPr>
            </w:pPr>
            <w:r>
              <w:rPr>
                <w:rFonts w:ascii="Arial;sans-serif" w:hAnsi="Arial;sans-serif"/>
                <w:b/>
                <w:color w:val="153A57"/>
                <w:sz w:val="32"/>
              </w:rPr>
              <w:t>NEWS RELEASE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6" w:type="dxa"/>
            <w:gridSpan w:val="3"/>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2009775" cy="228600"/>
                  <wp:effectExtent l="0" t="0" r="0" b="0"/>
                  <wp:docPr id="1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68" descr=""/>
                          <pic:cNvPicPr>
                            <a:picLocks noChangeAspect="1" noChangeArrowheads="1"/>
                          </pic:cNvPicPr>
                        </pic:nvPicPr>
                        <pic:blipFill>
                          <a:blip r:embed="rId97"/>
                          <a:stretch>
                            <a:fillRect/>
                          </a:stretch>
                        </pic:blipFill>
                        <pic:spPr bwMode="auto">
                          <a:xfrm>
                            <a:off x="0" y="0"/>
                            <a:ext cx="2009775" cy="228600"/>
                          </a:xfrm>
                          <a:prstGeom prst="rect">
                            <a:avLst/>
                          </a:prstGeom>
                        </pic:spPr>
                      </pic:pic>
                    </a:graphicData>
                  </a:graphic>
                </wp:inline>
              </w:drawing>
            </w:r>
          </w:p>
        </w:tc>
      </w:tr>
    </w:tbl>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Forward-looking information also involves known and unknown risks that may cause actual results to differ materially, these risks include, among others: the operations may not operate and produce as planned; cost overruns; market prices affecting development of the operation; risks associated with co-ownership arrangements; risks with ability to successfully secure adequate financing if necessary; risks to the growth of the lithium markets; lithium prices; inability to obtain any future required governmental permits and that operations may be limited by government-imposed limitations; technology, cyber security and artificial intelligence risk; inability to achieve and manage expected growth; political risk associated with foreign operations, including co-ownership arrangements with foreign domiciled partners; risks arising from the outbreak of or continued hostilities in Ukraine, the Middle East and other parts of the world and the international response, including but not limited to their impact on commodity markets, fuel prices, supply chains, equipment and construction prices and on capital markets in general; emerging and developing market risks; operational risks; changes in government regulations; changes in environmental requirements; failure to obtain or maintain necessary licenses, permits or approvals; insurance risk; receipt and security of mineral property titles and mineral tenure risk; changes in project or operation parameters; uncertainties associated with estimating mineral resources and mineral reserves, including uncertainties regarding assumptions underlying such estimates; whether mineral resources will ever be converted into mineral reserves; opposition to the Company’s projects; geological or technical or processing problems; liabilities and risks; health and safety risks; unanticipated results; unpredictable weather; unanticipated delays; reduction in demand for lithium; inability to generate profitable operations; restrictive covenants in debt instruments; intellectual property risks; dependency on key personnel; currency and interest rate fluctuations; uncertainties inherent to economic studies such as the Scoping Study; there being no assurance that the Company will seek any new stock exchange listing nor successfully obtain one; and volatility in general market and industry conditions. Additional risks, assumptions and other factors are set out in the Company’s management discussion analysis and most recent Annual Report on Form 20-F, copies of which are available on SEDAR+ at www.sedarplus.ca and on EDGAR at www.sec.gov.</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Although the Company has attempted to identify important risks and assumptions, given the inherent uncertainties in such forward-looking information, there may be other factors that cause results to differ materially. Forward-looking information is made as of the date hereof and the Company does not intend, and expressly disclaims any obligation to, update or revise the forward-looking information contained in this news release, except as required by law. Accordingly, readers are cautioned not to place undue reliance on forward-looking information.</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525780"/>
                <wp:effectExtent l="0" t="0" r="0" b="0"/>
                <wp:wrapNone/>
                <wp:docPr id="169" name="Frame7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p>
                      <w:pPr>
                        <w:pStyle w:val="TextBody"/>
                        <w:bidi w:val="0"/>
                        <w:spacing w:before="0" w:after="0"/>
                        <w:jc w:val="left"/>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99.6</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CONSENT OF DAVID BURGA</w:t>
      </w:r>
    </w:p>
    <w:p>
      <w:pPr>
        <w:pStyle w:val="TextBody"/>
        <w:bidi w:val="0"/>
        <w:spacing w:lineRule="auto" w:line="288" w:before="0" w:after="920"/>
        <w:jc w:val="both"/>
        <w:rPr>
          <w:rFonts w:ascii="Arial;sans-serif" w:hAnsi="Arial;sans-serif"/>
          <w:b w:val="false"/>
          <w:color w:val="000000"/>
          <w:sz w:val="20"/>
        </w:rPr>
      </w:pPr>
      <w:r>
        <w:rPr>
          <w:rFonts w:ascii="Arial;sans-serif" w:hAnsi="Arial;sans-serif"/>
          <w:b w:val="false"/>
          <w:color w:val="000000"/>
          <w:sz w:val="20"/>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and six months ended June 30,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tbl>
      <w:tblPr>
        <w:tblW w:w="2511" w:type="dxa"/>
        <w:jc w:val="left"/>
        <w:tblInd w:w="0" w:type="dxa"/>
        <w:tblLayout w:type="fixed"/>
        <w:tblCellMar>
          <w:top w:w="28" w:type="dxa"/>
          <w:left w:w="28" w:type="dxa"/>
          <w:bottom w:w="28" w:type="dxa"/>
          <w:right w:w="28" w:type="dxa"/>
        </w:tblCellMar>
      </w:tblPr>
      <w:tblGrid>
        <w:gridCol w:w="511"/>
        <w:gridCol w:w="449"/>
        <w:gridCol w:w="449"/>
        <w:gridCol w:w="323"/>
        <w:gridCol w:w="323"/>
        <w:gridCol w:w="456"/>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5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/s/David Burga</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David Burga, P.Geo.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70"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99.7</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CONSENT OF JAMES WANG</w:t>
      </w:r>
    </w:p>
    <w:p>
      <w:pPr>
        <w:pStyle w:val="TextBody"/>
        <w:bidi w:val="0"/>
        <w:spacing w:lineRule="auto" w:line="288" w:before="0" w:after="920"/>
        <w:jc w:val="both"/>
        <w:rPr>
          <w:rFonts w:ascii="Arial;sans-serif" w:hAnsi="Arial;sans-serif"/>
          <w:b w:val="false"/>
          <w:color w:val="000000"/>
          <w:sz w:val="20"/>
        </w:rPr>
      </w:pPr>
      <w:r>
        <w:rPr>
          <w:rFonts w:ascii="Arial;sans-serif" w:hAnsi="Arial;sans-serif"/>
          <w:b w:val="false"/>
          <w:color w:val="000000"/>
          <w:sz w:val="20"/>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and six months ended June 30,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tbl>
      <w:tblPr>
        <w:tblW w:w="2586" w:type="dxa"/>
        <w:jc w:val="left"/>
        <w:tblInd w:w="0" w:type="dxa"/>
        <w:tblLayout w:type="fixed"/>
        <w:tblCellMar>
          <w:top w:w="28" w:type="dxa"/>
          <w:left w:w="28" w:type="dxa"/>
          <w:bottom w:w="28" w:type="dxa"/>
          <w:right w:w="28" w:type="dxa"/>
        </w:tblCellMar>
      </w:tblPr>
      <w:tblGrid>
        <w:gridCol w:w="538"/>
        <w:gridCol w:w="473"/>
        <w:gridCol w:w="473"/>
        <w:gridCol w:w="323"/>
        <w:gridCol w:w="323"/>
        <w:gridCol w:w="456"/>
      </w:tblGrid>
      <w:tr>
        <w:trPr/>
        <w:tc>
          <w:tcPr>
            <w:tcW w:w="53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58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/s/James Wang</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6"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James Wang, P.Eng.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71"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99.8</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CONSENT OF FREDERIK REIDEL</w:t>
      </w:r>
    </w:p>
    <w:p>
      <w:pPr>
        <w:pStyle w:val="TextBody"/>
        <w:bidi w:val="0"/>
        <w:spacing w:lineRule="auto" w:line="288" w:before="0" w:after="920"/>
        <w:jc w:val="both"/>
        <w:rPr>
          <w:rFonts w:ascii="Arial;sans-serif" w:hAnsi="Arial;sans-serif"/>
          <w:b w:val="false"/>
          <w:color w:val="000000"/>
          <w:sz w:val="20"/>
        </w:rPr>
      </w:pPr>
      <w:r>
        <w:rPr>
          <w:rFonts w:ascii="Arial;sans-serif" w:hAnsi="Arial;sans-serif"/>
          <w:b w:val="false"/>
          <w:color w:val="000000"/>
          <w:sz w:val="20"/>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and six months ended June 30,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tbl>
      <w:tblPr>
        <w:tblW w:w="2752" w:type="dxa"/>
        <w:jc w:val="left"/>
        <w:tblInd w:w="0" w:type="dxa"/>
        <w:tblLayout w:type="fixed"/>
        <w:tblCellMar>
          <w:top w:w="28" w:type="dxa"/>
          <w:left w:w="28" w:type="dxa"/>
          <w:bottom w:w="28" w:type="dxa"/>
          <w:right w:w="28" w:type="dxa"/>
        </w:tblCellMar>
      </w:tblPr>
      <w:tblGrid>
        <w:gridCol w:w="598"/>
        <w:gridCol w:w="526"/>
        <w:gridCol w:w="526"/>
        <w:gridCol w:w="323"/>
        <w:gridCol w:w="323"/>
        <w:gridCol w:w="456"/>
      </w:tblGrid>
      <w:tr>
        <w:trPr/>
        <w:tc>
          <w:tcPr>
            <w:tcW w:w="59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r>
      <w:tr>
        <w:trPr/>
        <w:tc>
          <w:tcPr>
            <w:tcW w:w="27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/s/Frederik Reidel</w:t>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2"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Frederik Reidel, CPG</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72"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99.9</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CONSENT OF DR. MARK KING</w:t>
      </w:r>
    </w:p>
    <w:p>
      <w:pPr>
        <w:pStyle w:val="TextBody"/>
        <w:bidi w:val="0"/>
        <w:spacing w:lineRule="auto" w:line="288" w:before="0" w:after="940"/>
        <w:jc w:val="both"/>
        <w:rPr>
          <w:rFonts w:ascii="Arial;sans-serif" w:hAnsi="Arial;sans-serif"/>
          <w:b w:val="false"/>
          <w:color w:val="000000"/>
          <w:sz w:val="20"/>
        </w:rPr>
      </w:pPr>
      <w:r>
        <w:rPr>
          <w:rFonts w:ascii="Arial;sans-serif" w:hAnsi="Arial;sans-serif"/>
          <w:b w:val="false"/>
          <w:color w:val="000000"/>
          <w:sz w:val="20"/>
        </w:rPr>
        <w:t>The undersigned hereby consents to (i) the inclusion in this Current Report on Form 6-K of Lithium Argentina AG (the “Company”) of the references to the undersigned’s involvement in the preparation and review of the scientific and technical information, contained in the Company’s Management’s Discussion and Analysis for the three and six months ended June 30, 2026 (the “Technical Information”) being filed with the United States Securities and Exchange Commission (the “SEC”) under cover of Form 6-K; and (ii) the filing of this consent under cover of Form 6-K with the SEC and of the incorporation by reference of this consent, the use of my name and the Technical Information into the Company’s Registration Statements (File No. 333-238142, File No. 333-227816, and File No. 333-282163) on Form S-8, and any amendments thereto, filed with the SEC.</w:t>
      </w:r>
    </w:p>
    <w:tbl>
      <w:tblPr>
        <w:tblW w:w="2805" w:type="dxa"/>
        <w:jc w:val="left"/>
        <w:tblInd w:w="0" w:type="dxa"/>
        <w:tblLayout w:type="fixed"/>
        <w:tblCellMar>
          <w:top w:w="28" w:type="dxa"/>
          <w:left w:w="28" w:type="dxa"/>
          <w:bottom w:w="28" w:type="dxa"/>
          <w:right w:w="28" w:type="dxa"/>
        </w:tblCellMar>
      </w:tblPr>
      <w:tblGrid>
        <w:gridCol w:w="548"/>
        <w:gridCol w:w="482"/>
        <w:gridCol w:w="482"/>
        <w:gridCol w:w="379"/>
        <w:gridCol w:w="379"/>
        <w:gridCol w:w="535"/>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28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August 11, 2026</w:t>
            </w:r>
          </w:p>
        </w:tc>
      </w:tr>
      <w:tr>
        <w:trPr/>
        <w:tc>
          <w:tcPr>
            <w:tcW w:w="1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i/>
                <w:color w:val="000000"/>
                <w:sz w:val="20"/>
              </w:rPr>
            </w:pPr>
            <w:r>
              <w:rPr>
                <w:rFonts w:ascii="Arial;sans-serif" w:hAnsi="Arial;sans-serif"/>
                <w:b w:val="false"/>
                <w:i/>
                <w:color w:val="000000"/>
                <w:sz w:val="20"/>
              </w:rPr>
              <w:t>/s/ Mark King</w:t>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Mark King, PhD, P.Geo., FGC</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73"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2.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3.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2.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2.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2.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4.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fontTable" Target="fontTable.xml"/><Relationship Id="rId9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77</Pages>
  <Words>31485</Words>
  <Characters>177658</Characters>
  <CharactersWithSpaces>206863</CharactersWithSpaces>
  <Paragraphs>3599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